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3" w:type="dxa"/>
        <w:tblLayout w:type="fixed"/>
        <w:tblLook w:val="04A0" w:firstRow="1" w:lastRow="0" w:firstColumn="1" w:lastColumn="0" w:noHBand="0" w:noVBand="1"/>
      </w:tblPr>
      <w:tblGrid>
        <w:gridCol w:w="5778"/>
        <w:gridCol w:w="4965"/>
      </w:tblGrid>
      <w:tr w:rsidR="0019356C" w:rsidRPr="0033707A" w:rsidTr="00D56B9A">
        <w:trPr>
          <w:trHeight w:val="328"/>
        </w:trPr>
        <w:tc>
          <w:tcPr>
            <w:tcW w:w="5778" w:type="dxa"/>
          </w:tcPr>
          <w:p w:rsidR="0019356C" w:rsidRPr="0033707A" w:rsidRDefault="00D56B9A" w:rsidP="00D56B9A">
            <w:pPr>
              <w:rPr>
                <w:rFonts w:cs="Aharoni"/>
                <w:noProof/>
                <w:sz w:val="28"/>
                <w:szCs w:val="28"/>
              </w:rPr>
            </w:pPr>
            <w:r>
              <w:object w:dxaOrig="9675" w:dyaOrig="1920" w14:anchorId="5A43B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1pt;height:86.8pt" o:ole="">
                  <v:imagedata r:id="rId7" o:title=""/>
                </v:shape>
                <o:OLEObject Type="Embed" ProgID="PBrush" ShapeID="_x0000_i1025" DrawAspect="Content" ObjectID="_1520950537" r:id="rId8"/>
              </w:object>
            </w:r>
          </w:p>
        </w:tc>
        <w:tc>
          <w:tcPr>
            <w:tcW w:w="4965" w:type="dxa"/>
          </w:tcPr>
          <w:p w:rsidR="0019356C" w:rsidRDefault="00125784" w:rsidP="006834EF">
            <w:pPr>
              <w:jc w:val="center"/>
            </w:pPr>
            <w:r>
              <w:rPr>
                <w:noProof/>
              </w:rPr>
              <w:drawing>
                <wp:inline distT="0" distB="0" distL="0" distR="0">
                  <wp:extent cx="2645598" cy="1311088"/>
                  <wp:effectExtent l="0" t="0" r="254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6062" cy="1311318"/>
                          </a:xfrm>
                          <a:prstGeom prst="rect">
                            <a:avLst/>
                          </a:prstGeom>
                          <a:noFill/>
                          <a:ln>
                            <a:noFill/>
                          </a:ln>
                        </pic:spPr>
                      </pic:pic>
                    </a:graphicData>
                  </a:graphic>
                </wp:inline>
              </w:drawing>
            </w:r>
          </w:p>
          <w:p w:rsidR="0019356C" w:rsidRPr="0033707A" w:rsidRDefault="00D56B9A" w:rsidP="00D56B9A">
            <w:pPr>
              <w:tabs>
                <w:tab w:val="left" w:pos="699"/>
              </w:tabs>
              <w:rPr>
                <w:rFonts w:cs="Aharoni"/>
                <w:noProof/>
                <w:sz w:val="28"/>
                <w:szCs w:val="28"/>
              </w:rPr>
            </w:pPr>
            <w:r>
              <w:rPr>
                <w:rFonts w:cs="Aharoni"/>
                <w:noProof/>
                <w:sz w:val="28"/>
                <w:szCs w:val="28"/>
              </w:rPr>
              <w:tab/>
            </w:r>
          </w:p>
        </w:tc>
      </w:tr>
      <w:tr w:rsidR="0033707A" w:rsidTr="00D56B9A">
        <w:trPr>
          <w:trHeight w:val="1282"/>
        </w:trPr>
        <w:tc>
          <w:tcPr>
            <w:tcW w:w="10743" w:type="dxa"/>
            <w:gridSpan w:val="2"/>
          </w:tcPr>
          <w:p w:rsidR="0033707A" w:rsidRDefault="0033707A" w:rsidP="0033707A">
            <w:pPr>
              <w:jc w:val="center"/>
              <w:rPr>
                <w:rFonts w:ascii="Times New Roman" w:hAnsi="Times New Roman" w:cs="Times New Roman"/>
                <w:b/>
                <w:noProof/>
                <w:sz w:val="28"/>
                <w:szCs w:val="28"/>
              </w:rPr>
            </w:pPr>
          </w:p>
          <w:p w:rsidR="0033707A" w:rsidRDefault="00E32AD0" w:rsidP="002048B4">
            <w:pPr>
              <w:jc w:val="center"/>
              <w:rPr>
                <w:rFonts w:ascii="Times New Roman" w:hAnsi="Times New Roman" w:cs="Times New Roman"/>
                <w:b/>
                <w:noProof/>
                <w:sz w:val="36"/>
                <w:szCs w:val="36"/>
              </w:rPr>
            </w:pPr>
            <w:r w:rsidRPr="005F79C2">
              <w:rPr>
                <w:rFonts w:ascii="Times New Roman" w:hAnsi="Times New Roman" w:cs="Times New Roman"/>
                <w:b/>
                <w:noProof/>
                <w:sz w:val="36"/>
                <w:szCs w:val="36"/>
              </w:rPr>
              <w:t xml:space="preserve">New Cluster Policies and Tools </w:t>
            </w:r>
            <w:r w:rsidR="003C7184">
              <w:rPr>
                <w:rFonts w:ascii="Times New Roman" w:hAnsi="Times New Roman" w:cs="Times New Roman"/>
                <w:b/>
                <w:noProof/>
                <w:sz w:val="36"/>
                <w:szCs w:val="36"/>
              </w:rPr>
              <w:t xml:space="preserve">to Support </w:t>
            </w:r>
            <w:r w:rsidR="009A264E">
              <w:rPr>
                <w:rFonts w:ascii="Times New Roman" w:hAnsi="Times New Roman" w:cs="Times New Roman"/>
                <w:b/>
                <w:noProof/>
                <w:sz w:val="36"/>
                <w:szCs w:val="36"/>
              </w:rPr>
              <w:t>E</w:t>
            </w:r>
            <w:r w:rsidR="00F3149E" w:rsidRPr="005F79C2">
              <w:rPr>
                <w:rFonts w:ascii="Times New Roman" w:hAnsi="Times New Roman" w:cs="Times New Roman"/>
                <w:b/>
                <w:noProof/>
                <w:sz w:val="36"/>
                <w:szCs w:val="36"/>
              </w:rPr>
              <w:t>mergi</w:t>
            </w:r>
            <w:r w:rsidR="003C7184">
              <w:rPr>
                <w:rFonts w:ascii="Times New Roman" w:hAnsi="Times New Roman" w:cs="Times New Roman"/>
                <w:b/>
                <w:noProof/>
                <w:sz w:val="36"/>
                <w:szCs w:val="36"/>
              </w:rPr>
              <w:t>ng Industries</w:t>
            </w:r>
            <w:r w:rsidR="00F3149E" w:rsidRPr="005F79C2">
              <w:rPr>
                <w:rFonts w:ascii="Times New Roman" w:hAnsi="Times New Roman" w:cs="Times New Roman"/>
                <w:b/>
                <w:noProof/>
                <w:sz w:val="36"/>
                <w:szCs w:val="36"/>
              </w:rPr>
              <w:t xml:space="preserve"> </w:t>
            </w:r>
            <w:r w:rsidR="00D56B9A">
              <w:rPr>
                <w:rFonts w:ascii="Times New Roman" w:hAnsi="Times New Roman" w:cs="Times New Roman"/>
                <w:b/>
                <w:noProof/>
                <w:sz w:val="36"/>
                <w:szCs w:val="36"/>
              </w:rPr>
              <w:br/>
            </w:r>
            <w:r w:rsidR="003C7184">
              <w:rPr>
                <w:rFonts w:ascii="Times New Roman" w:hAnsi="Times New Roman" w:cs="Times New Roman"/>
                <w:b/>
                <w:noProof/>
                <w:sz w:val="36"/>
                <w:szCs w:val="36"/>
              </w:rPr>
              <w:t>and System Innovation</w:t>
            </w:r>
          </w:p>
          <w:p w:rsidR="002048B4" w:rsidRPr="002048B4" w:rsidRDefault="00FF110C" w:rsidP="00FF110C">
            <w:pPr>
              <w:pStyle w:val="ListParagraph"/>
              <w:numPr>
                <w:ilvl w:val="0"/>
                <w:numId w:val="29"/>
              </w:numPr>
              <w:jc w:val="center"/>
              <w:rPr>
                <w:b/>
                <w:i/>
                <w:noProof/>
                <w:sz w:val="28"/>
                <w:szCs w:val="28"/>
              </w:rPr>
            </w:pPr>
            <w:r>
              <w:rPr>
                <w:b/>
                <w:noProof/>
                <w:szCs w:val="36"/>
              </w:rPr>
              <w:t>Joint W</w:t>
            </w:r>
            <w:r w:rsidR="00F5541B" w:rsidRPr="00F5541B">
              <w:rPr>
                <w:b/>
                <w:noProof/>
                <w:szCs w:val="36"/>
              </w:rPr>
              <w:t xml:space="preserve">orkshop of OECD and European Cluster Observatory - </w:t>
            </w:r>
          </w:p>
        </w:tc>
      </w:tr>
      <w:tr w:rsidR="00A50F31" w:rsidRPr="00A50F31" w:rsidTr="00D56B9A">
        <w:trPr>
          <w:trHeight w:val="1170"/>
        </w:trPr>
        <w:tc>
          <w:tcPr>
            <w:tcW w:w="10743" w:type="dxa"/>
            <w:gridSpan w:val="2"/>
          </w:tcPr>
          <w:p w:rsidR="009A264E" w:rsidRPr="009A264E" w:rsidRDefault="009A264E" w:rsidP="00AA293C">
            <w:pPr>
              <w:jc w:val="center"/>
              <w:rPr>
                <w:rFonts w:ascii="Times New Roman" w:hAnsi="Times New Roman" w:cs="Times New Roman"/>
                <w:b/>
                <w:noProof/>
                <w:color w:val="FF0000"/>
                <w:sz w:val="28"/>
                <w:szCs w:val="28"/>
              </w:rPr>
            </w:pPr>
            <w:r w:rsidRPr="009A264E">
              <w:rPr>
                <w:rFonts w:ascii="Times New Roman" w:hAnsi="Times New Roman" w:cs="Times New Roman"/>
                <w:b/>
                <w:noProof/>
                <w:color w:val="FF0000"/>
                <w:sz w:val="28"/>
                <w:szCs w:val="28"/>
              </w:rPr>
              <w:t xml:space="preserve">DRAFT AGENDA </w:t>
            </w:r>
          </w:p>
          <w:p w:rsidR="005F44F6" w:rsidRDefault="005F44F6" w:rsidP="00AA293C">
            <w:pPr>
              <w:jc w:val="center"/>
              <w:rPr>
                <w:rFonts w:ascii="Times New Roman" w:hAnsi="Times New Roman" w:cs="Times New Roman"/>
                <w:b/>
                <w:noProof/>
                <w:sz w:val="28"/>
                <w:szCs w:val="28"/>
              </w:rPr>
            </w:pPr>
            <w:r>
              <w:rPr>
                <w:rFonts w:ascii="Times New Roman" w:hAnsi="Times New Roman" w:cs="Times New Roman"/>
                <w:b/>
                <w:noProof/>
                <w:sz w:val="28"/>
                <w:szCs w:val="28"/>
              </w:rPr>
              <w:t xml:space="preserve">7 April 2016 </w:t>
            </w:r>
          </w:p>
          <w:p w:rsidR="00D900CC" w:rsidRPr="00D900CC" w:rsidRDefault="00BE7922" w:rsidP="00D900CC">
            <w:pPr>
              <w:jc w:val="center"/>
              <w:rPr>
                <w:rFonts w:ascii="Times New Roman" w:hAnsi="Times New Roman" w:cs="Times New Roman"/>
                <w:b/>
                <w:noProof/>
                <w:sz w:val="28"/>
                <w:szCs w:val="28"/>
              </w:rPr>
            </w:pPr>
            <w:r>
              <w:rPr>
                <w:rFonts w:ascii="Times New Roman" w:hAnsi="Times New Roman" w:cs="Times New Roman"/>
                <w:b/>
                <w:noProof/>
                <w:sz w:val="28"/>
                <w:szCs w:val="28"/>
              </w:rPr>
              <w:t>Venue</w:t>
            </w:r>
            <w:r w:rsidR="00D900CC">
              <w:rPr>
                <w:rFonts w:ascii="Times New Roman" w:hAnsi="Times New Roman" w:cs="Times New Roman"/>
                <w:b/>
                <w:noProof/>
                <w:sz w:val="28"/>
                <w:szCs w:val="28"/>
              </w:rPr>
              <w:t xml:space="preserve">: </w:t>
            </w:r>
            <w:r w:rsidR="00D900CC" w:rsidRPr="00D900CC">
              <w:rPr>
                <w:rFonts w:ascii="Times New Roman" w:hAnsi="Times New Roman" w:cs="Times New Roman"/>
                <w:b/>
                <w:noProof/>
                <w:sz w:val="28"/>
                <w:szCs w:val="28"/>
              </w:rPr>
              <w:t xml:space="preserve">Bilfinger HSG FM Nordost GmbH </w:t>
            </w:r>
          </w:p>
          <w:p w:rsidR="00D900CC" w:rsidRPr="00D900CC" w:rsidRDefault="00D900CC" w:rsidP="00D900CC">
            <w:pPr>
              <w:jc w:val="center"/>
              <w:rPr>
                <w:rFonts w:ascii="Times New Roman" w:hAnsi="Times New Roman" w:cs="Times New Roman"/>
                <w:b/>
                <w:noProof/>
                <w:sz w:val="28"/>
                <w:szCs w:val="28"/>
                <w:lang w:val="it-IT"/>
              </w:rPr>
            </w:pPr>
            <w:r w:rsidRPr="00D900CC">
              <w:rPr>
                <w:rFonts w:ascii="Times New Roman" w:hAnsi="Times New Roman" w:cs="Times New Roman"/>
                <w:b/>
                <w:noProof/>
                <w:sz w:val="28"/>
                <w:szCs w:val="28"/>
                <w:lang w:val="it-IT"/>
              </w:rPr>
              <w:t xml:space="preserve">Eventpassage- Kantstraße 8 (Eingang Yva-Bogen) </w:t>
            </w:r>
          </w:p>
          <w:p w:rsidR="008D0F49" w:rsidRPr="00A50F31" w:rsidRDefault="00D900CC" w:rsidP="00D900CC">
            <w:pPr>
              <w:jc w:val="center"/>
              <w:rPr>
                <w:rFonts w:ascii="Times New Roman" w:hAnsi="Times New Roman" w:cs="Times New Roman"/>
                <w:b/>
                <w:noProof/>
                <w:color w:val="FF0000"/>
                <w:sz w:val="28"/>
                <w:szCs w:val="28"/>
              </w:rPr>
            </w:pPr>
            <w:r w:rsidRPr="00D900CC">
              <w:rPr>
                <w:rFonts w:ascii="Times New Roman" w:hAnsi="Times New Roman" w:cs="Times New Roman"/>
                <w:b/>
                <w:noProof/>
                <w:sz w:val="28"/>
                <w:szCs w:val="28"/>
              </w:rPr>
              <w:t>D - 10623 Berlin</w:t>
            </w:r>
            <w:r w:rsidR="005F44F6">
              <w:rPr>
                <w:rFonts w:ascii="Times New Roman" w:hAnsi="Times New Roman" w:cs="Times New Roman"/>
                <w:b/>
                <w:noProof/>
                <w:sz w:val="28"/>
                <w:szCs w:val="28"/>
              </w:rPr>
              <w:t xml:space="preserve">, Germany </w:t>
            </w:r>
            <w:r w:rsidR="00AA293C">
              <w:rPr>
                <w:rFonts w:ascii="Times New Roman" w:hAnsi="Times New Roman" w:cs="Times New Roman"/>
                <w:b/>
                <w:noProof/>
                <w:color w:val="FF0000"/>
                <w:sz w:val="28"/>
                <w:szCs w:val="28"/>
              </w:rPr>
              <w:t xml:space="preserve"> </w:t>
            </w:r>
          </w:p>
        </w:tc>
      </w:tr>
    </w:tbl>
    <w:p w:rsidR="00AC7D83" w:rsidRPr="00A50F31" w:rsidRDefault="006050E4" w:rsidP="004A4567">
      <w:pPr>
        <w:jc w:val="both"/>
        <w:rPr>
          <w:b/>
          <w:i/>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3"/>
        <w:gridCol w:w="8146"/>
      </w:tblGrid>
      <w:tr w:rsidR="00926F78" w:rsidRPr="00260F68" w:rsidTr="00A03201">
        <w:trPr>
          <w:trHeight w:val="659"/>
        </w:trPr>
        <w:tc>
          <w:tcPr>
            <w:tcW w:w="9639" w:type="dxa"/>
            <w:gridSpan w:val="2"/>
            <w:shd w:val="clear" w:color="auto" w:fill="365F91"/>
          </w:tcPr>
          <w:p w:rsidR="00C27B0E" w:rsidRDefault="00926F78" w:rsidP="004A4567">
            <w:pPr>
              <w:jc w:val="both"/>
              <w:rPr>
                <w:color w:val="FFFFFF"/>
                <w:sz w:val="24"/>
                <w:szCs w:val="24"/>
                <w:lang w:val="en-US"/>
              </w:rPr>
            </w:pPr>
            <w:r>
              <w:fldChar w:fldCharType="begin"/>
            </w:r>
            <w:r>
              <w:instrText xml:space="preserve"> MACROBUTTON NUMBERING </w:instrText>
            </w:r>
            <w:r>
              <w:fldChar w:fldCharType="end"/>
            </w:r>
            <w:r w:rsidR="003E15EF" w:rsidRPr="003E1A35">
              <w:rPr>
                <w:color w:val="FFFFFF" w:themeColor="background1"/>
                <w:sz w:val="24"/>
                <w:szCs w:val="24"/>
                <w:lang w:val="en-US"/>
              </w:rPr>
              <w:t>The goal</w:t>
            </w:r>
            <w:r w:rsidR="00F9224E" w:rsidRPr="003E1A35">
              <w:rPr>
                <w:color w:val="FFFFFF" w:themeColor="background1"/>
                <w:sz w:val="24"/>
                <w:szCs w:val="24"/>
                <w:lang w:val="en-US"/>
              </w:rPr>
              <w:t>s</w:t>
            </w:r>
            <w:r w:rsidR="003E15EF" w:rsidRPr="003E1A35">
              <w:rPr>
                <w:color w:val="FFFFFF" w:themeColor="background1"/>
                <w:sz w:val="24"/>
                <w:szCs w:val="24"/>
                <w:lang w:val="en-US"/>
              </w:rPr>
              <w:t xml:space="preserve"> of this one day </w:t>
            </w:r>
            <w:r w:rsidR="00505F0B" w:rsidRPr="003E1A35">
              <w:rPr>
                <w:color w:val="FFFFFF" w:themeColor="background1"/>
                <w:sz w:val="24"/>
                <w:szCs w:val="24"/>
                <w:lang w:val="en-US"/>
              </w:rPr>
              <w:t>inte</w:t>
            </w:r>
            <w:r w:rsidR="00F5541B">
              <w:rPr>
                <w:color w:val="FFFFFF" w:themeColor="background1"/>
                <w:sz w:val="24"/>
                <w:szCs w:val="24"/>
                <w:lang w:val="en-US"/>
              </w:rPr>
              <w:t>r</w:t>
            </w:r>
            <w:r w:rsidR="00505F0B" w:rsidRPr="003E1A35">
              <w:rPr>
                <w:color w:val="FFFFFF" w:themeColor="background1"/>
                <w:sz w:val="24"/>
                <w:szCs w:val="24"/>
                <w:lang w:val="en-US"/>
              </w:rPr>
              <w:t xml:space="preserve">active </w:t>
            </w:r>
            <w:r w:rsidR="003E15EF" w:rsidRPr="003E1A35">
              <w:rPr>
                <w:color w:val="FFFFFF" w:themeColor="background1"/>
                <w:sz w:val="24"/>
                <w:szCs w:val="24"/>
                <w:lang w:val="en-US"/>
              </w:rPr>
              <w:t xml:space="preserve">workshop </w:t>
            </w:r>
            <w:r w:rsidR="00F9224E" w:rsidRPr="003E1A35">
              <w:rPr>
                <w:color w:val="FFFFFF" w:themeColor="background1"/>
                <w:sz w:val="24"/>
                <w:szCs w:val="24"/>
                <w:lang w:val="en-US"/>
              </w:rPr>
              <w:t xml:space="preserve">are </w:t>
            </w:r>
            <w:proofErr w:type="gramStart"/>
            <w:r w:rsidR="00F9224E" w:rsidRPr="003E1A35">
              <w:rPr>
                <w:color w:val="FFFFFF" w:themeColor="background1"/>
                <w:sz w:val="24"/>
                <w:szCs w:val="24"/>
                <w:lang w:val="en-US"/>
              </w:rPr>
              <w:t>to</w:t>
            </w:r>
            <w:r w:rsidR="00F3149E" w:rsidRPr="003E1A35">
              <w:rPr>
                <w:color w:val="FFFFFF" w:themeColor="background1"/>
                <w:sz w:val="24"/>
                <w:szCs w:val="24"/>
                <w:lang w:val="en-US"/>
              </w:rPr>
              <w:t xml:space="preserve"> </w:t>
            </w:r>
            <w:r w:rsidR="009A264E">
              <w:rPr>
                <w:color w:val="FFFFFF" w:themeColor="background1"/>
                <w:sz w:val="24"/>
                <w:szCs w:val="24"/>
                <w:lang w:val="en-US"/>
              </w:rPr>
              <w:t>:</w:t>
            </w:r>
            <w:proofErr w:type="gramEnd"/>
            <w:r w:rsidR="009A264E">
              <w:rPr>
                <w:color w:val="FFFFFF" w:themeColor="background1"/>
                <w:sz w:val="24"/>
                <w:szCs w:val="24"/>
                <w:lang w:val="en-US"/>
              </w:rPr>
              <w:t xml:space="preserve"> 1) </w:t>
            </w:r>
            <w:r w:rsidR="00F3149E" w:rsidRPr="003E1A35">
              <w:rPr>
                <w:color w:val="FFFFFF" w:themeColor="background1"/>
                <w:sz w:val="24"/>
                <w:szCs w:val="24"/>
                <w:lang w:val="en-US"/>
              </w:rPr>
              <w:t xml:space="preserve">identify what are the </w:t>
            </w:r>
            <w:r w:rsidR="009A264E">
              <w:rPr>
                <w:color w:val="FFFFFF" w:themeColor="background1"/>
                <w:sz w:val="24"/>
                <w:szCs w:val="24"/>
                <w:lang w:val="en-US"/>
              </w:rPr>
              <w:t xml:space="preserve">new </w:t>
            </w:r>
            <w:r w:rsidR="004A4567">
              <w:rPr>
                <w:color w:val="FFFFFF" w:themeColor="background1"/>
                <w:sz w:val="24"/>
                <w:szCs w:val="24"/>
                <w:lang w:val="en-US"/>
              </w:rPr>
              <w:t xml:space="preserve">cluster policies, such as cross –cluster collaboration, </w:t>
            </w:r>
            <w:r w:rsidR="00F3149E" w:rsidRPr="003E1A35">
              <w:rPr>
                <w:color w:val="FFFFFF" w:themeColor="background1"/>
                <w:sz w:val="24"/>
                <w:szCs w:val="24"/>
                <w:lang w:val="en-US"/>
              </w:rPr>
              <w:t xml:space="preserve">to </w:t>
            </w:r>
            <w:r w:rsidR="009A264E">
              <w:rPr>
                <w:color w:val="FFFFFF" w:themeColor="background1"/>
                <w:sz w:val="24"/>
                <w:szCs w:val="24"/>
                <w:lang w:val="en-US"/>
              </w:rPr>
              <w:t>foster the transformation  of existing industries and the creation of new ones;</w:t>
            </w:r>
            <w:r w:rsidR="004A4567">
              <w:rPr>
                <w:color w:val="FFFFFF" w:themeColor="background1"/>
                <w:sz w:val="24"/>
                <w:szCs w:val="24"/>
                <w:lang w:val="en-US"/>
              </w:rPr>
              <w:t xml:space="preserve">  </w:t>
            </w:r>
            <w:r w:rsidR="009A264E">
              <w:rPr>
                <w:color w:val="FFFFFF" w:themeColor="background1"/>
                <w:sz w:val="24"/>
                <w:szCs w:val="24"/>
                <w:lang w:val="en-US"/>
              </w:rPr>
              <w:t xml:space="preserve">2) </w:t>
            </w:r>
            <w:r w:rsidR="00F3149E" w:rsidRPr="003E1A35">
              <w:rPr>
                <w:color w:val="FFFFFF" w:themeColor="background1"/>
                <w:sz w:val="24"/>
                <w:szCs w:val="24"/>
                <w:lang w:val="en-US"/>
              </w:rPr>
              <w:t xml:space="preserve">to </w:t>
            </w:r>
            <w:r w:rsidR="00F9224E" w:rsidRPr="003E1A35">
              <w:rPr>
                <w:color w:val="FFFFFF" w:themeColor="background1"/>
                <w:sz w:val="24"/>
                <w:szCs w:val="24"/>
                <w:lang w:val="en-US"/>
              </w:rPr>
              <w:t xml:space="preserve">exchange </w:t>
            </w:r>
            <w:r w:rsidR="001F2535" w:rsidRPr="00E76698">
              <w:rPr>
                <w:color w:val="FFFFFF"/>
                <w:sz w:val="24"/>
                <w:szCs w:val="24"/>
                <w:lang w:val="en-US"/>
              </w:rPr>
              <w:t xml:space="preserve">experience </w:t>
            </w:r>
            <w:r w:rsidR="00F3149E">
              <w:rPr>
                <w:color w:val="FFFFFF"/>
                <w:sz w:val="24"/>
                <w:szCs w:val="24"/>
                <w:lang w:val="en-US"/>
              </w:rPr>
              <w:t>between national policies makers and cluster managers and practi</w:t>
            </w:r>
            <w:r w:rsidR="009A264E">
              <w:rPr>
                <w:color w:val="FFFFFF"/>
                <w:sz w:val="24"/>
                <w:szCs w:val="24"/>
                <w:lang w:val="en-US"/>
              </w:rPr>
              <w:t>ti</w:t>
            </w:r>
            <w:r w:rsidR="00F3149E">
              <w:rPr>
                <w:color w:val="FFFFFF"/>
                <w:sz w:val="24"/>
                <w:szCs w:val="24"/>
                <w:lang w:val="en-US"/>
              </w:rPr>
              <w:t xml:space="preserve">oners. The workshop </w:t>
            </w:r>
            <w:r w:rsidR="00F5541B">
              <w:rPr>
                <w:color w:val="FFFFFF"/>
                <w:sz w:val="24"/>
                <w:szCs w:val="24"/>
                <w:lang w:val="en-US"/>
              </w:rPr>
              <w:t xml:space="preserve">is organized by OECD and the European Cluster Observatory. It </w:t>
            </w:r>
            <w:r w:rsidR="00F3149E">
              <w:rPr>
                <w:color w:val="FFFFFF"/>
                <w:sz w:val="24"/>
                <w:szCs w:val="24"/>
                <w:lang w:val="en-US"/>
              </w:rPr>
              <w:t>outcomes will contribute to the OECD sy</w:t>
            </w:r>
            <w:r w:rsidR="00F9224E" w:rsidRPr="00E76698">
              <w:rPr>
                <w:color w:val="FFFFFF"/>
                <w:sz w:val="24"/>
                <w:szCs w:val="24"/>
                <w:lang w:val="en-US"/>
              </w:rPr>
              <w:t xml:space="preserve">stem innovation project </w:t>
            </w:r>
            <w:r w:rsidR="00CC1953">
              <w:rPr>
                <w:color w:val="FFFFFF"/>
                <w:sz w:val="24"/>
                <w:szCs w:val="24"/>
                <w:lang w:val="en-US"/>
              </w:rPr>
              <w:t>that aims to identify ways to adjust innovation policies</w:t>
            </w:r>
            <w:r w:rsidR="003C7184">
              <w:rPr>
                <w:color w:val="FFFFFF"/>
                <w:sz w:val="24"/>
                <w:szCs w:val="24"/>
                <w:lang w:val="en-US"/>
              </w:rPr>
              <w:t xml:space="preserve">, making better use of cluster </w:t>
            </w:r>
            <w:proofErr w:type="spellStart"/>
            <w:r w:rsidR="003C7184">
              <w:rPr>
                <w:color w:val="FFFFFF"/>
                <w:sz w:val="24"/>
                <w:szCs w:val="24"/>
                <w:lang w:val="en-US"/>
              </w:rPr>
              <w:t>organisations</w:t>
            </w:r>
            <w:proofErr w:type="spellEnd"/>
            <w:r w:rsidR="003C7184">
              <w:rPr>
                <w:color w:val="FFFFFF"/>
                <w:sz w:val="24"/>
                <w:szCs w:val="24"/>
                <w:lang w:val="en-US"/>
              </w:rPr>
              <w:t xml:space="preserve"> as driver for system innovations </w:t>
            </w:r>
            <w:r w:rsidR="00CC1953">
              <w:rPr>
                <w:color w:val="FFFFFF"/>
                <w:sz w:val="24"/>
                <w:szCs w:val="24"/>
                <w:lang w:val="en-US"/>
              </w:rPr>
              <w:t xml:space="preserve">and </w:t>
            </w:r>
            <w:r w:rsidR="003C7184">
              <w:rPr>
                <w:color w:val="FFFFFF"/>
                <w:sz w:val="24"/>
                <w:szCs w:val="24"/>
                <w:lang w:val="en-US"/>
              </w:rPr>
              <w:t xml:space="preserve">cross-sectoral cooperation towards new value chains. The workshop will also present and discuss the new </w:t>
            </w:r>
            <w:r w:rsidR="00F3149E" w:rsidRPr="00F3149E">
              <w:rPr>
                <w:color w:val="FFFFFF"/>
                <w:sz w:val="24"/>
                <w:szCs w:val="24"/>
                <w:lang w:val="en-US"/>
              </w:rPr>
              <w:t>Smart Cluster Policy Guide</w:t>
            </w:r>
            <w:r w:rsidR="003C7184">
              <w:rPr>
                <w:color w:val="FFFFFF"/>
                <w:sz w:val="24"/>
                <w:szCs w:val="24"/>
                <w:lang w:val="en-US"/>
              </w:rPr>
              <w:t xml:space="preserve"> issued by the European Commission</w:t>
            </w:r>
            <w:r w:rsidR="00CC1953">
              <w:rPr>
                <w:color w:val="FFFFFF"/>
                <w:sz w:val="24"/>
                <w:szCs w:val="24"/>
                <w:lang w:val="en-US"/>
              </w:rPr>
              <w:t>.</w:t>
            </w:r>
            <w:r w:rsidR="00B17391">
              <w:rPr>
                <w:color w:val="FFFFFF"/>
                <w:sz w:val="24"/>
                <w:szCs w:val="24"/>
                <w:lang w:val="en-US"/>
              </w:rPr>
              <w:t xml:space="preserve"> The European Cluster Observatory will pr</w:t>
            </w:r>
            <w:r w:rsidR="00F5541B">
              <w:rPr>
                <w:color w:val="FFFFFF"/>
                <w:sz w:val="24"/>
                <w:szCs w:val="24"/>
                <w:lang w:val="en-US"/>
              </w:rPr>
              <w:t xml:space="preserve">esent </w:t>
            </w:r>
            <w:r w:rsidR="00B17391">
              <w:rPr>
                <w:color w:val="FFFFFF"/>
                <w:sz w:val="24"/>
                <w:szCs w:val="24"/>
                <w:lang w:val="en-US"/>
              </w:rPr>
              <w:t>the Smart Cluster Policy Guide</w:t>
            </w:r>
            <w:r w:rsidR="00F5541B">
              <w:rPr>
                <w:color w:val="FFFFFF"/>
                <w:sz w:val="24"/>
                <w:szCs w:val="24"/>
                <w:lang w:val="en-US"/>
              </w:rPr>
              <w:t>.</w:t>
            </w:r>
            <w:r w:rsidR="00CC1953">
              <w:rPr>
                <w:color w:val="FFFFFF"/>
                <w:sz w:val="24"/>
                <w:szCs w:val="24"/>
                <w:lang w:val="en-US"/>
              </w:rPr>
              <w:t xml:space="preserve"> </w:t>
            </w:r>
            <w:r w:rsidR="00F9224E" w:rsidRPr="00E76698">
              <w:rPr>
                <w:color w:val="FFFFFF"/>
                <w:sz w:val="24"/>
                <w:szCs w:val="24"/>
                <w:lang w:val="en-US"/>
              </w:rPr>
              <w:t xml:space="preserve"> </w:t>
            </w:r>
            <w:r w:rsidR="00D44A4C" w:rsidRPr="00E76698">
              <w:rPr>
                <w:color w:val="FFFFFF"/>
                <w:sz w:val="24"/>
                <w:szCs w:val="24"/>
                <w:lang w:val="en-US"/>
              </w:rPr>
              <w:t xml:space="preserve"> </w:t>
            </w:r>
          </w:p>
          <w:p w:rsidR="0019356C" w:rsidRPr="00E76698" w:rsidRDefault="0019356C" w:rsidP="004A4567">
            <w:pPr>
              <w:jc w:val="both"/>
              <w:rPr>
                <w:color w:val="FFFFFF"/>
                <w:sz w:val="24"/>
                <w:szCs w:val="24"/>
                <w:lang w:val="en-US"/>
              </w:rPr>
            </w:pPr>
            <w:r>
              <w:rPr>
                <w:color w:val="FFFFFF"/>
                <w:sz w:val="24"/>
                <w:szCs w:val="24"/>
                <w:lang w:val="en-US"/>
              </w:rPr>
              <w:t xml:space="preserve">Participation is open to OECD TIP Delegates and invited policy makers and practitioners (30-40 participants)  </w:t>
            </w:r>
          </w:p>
        </w:tc>
      </w:tr>
      <w:tr w:rsidR="00496344" w:rsidRPr="00EB11A5" w:rsidTr="009B6B48">
        <w:trPr>
          <w:trHeight w:val="1623"/>
        </w:trPr>
        <w:tc>
          <w:tcPr>
            <w:tcW w:w="1493" w:type="dxa"/>
            <w:vAlign w:val="center"/>
          </w:tcPr>
          <w:p w:rsidR="00496344" w:rsidRPr="003E1A35" w:rsidRDefault="003C7184" w:rsidP="003C7184">
            <w:pPr>
              <w:rPr>
                <w:rFonts w:cs="Times New Roman"/>
                <w:color w:val="FF0000"/>
                <w:lang w:val="en-US"/>
              </w:rPr>
            </w:pPr>
            <w:r w:rsidRPr="003E1A35">
              <w:rPr>
                <w:rFonts w:cs="Times New Roman"/>
                <w:color w:val="000000" w:themeColor="text1"/>
                <w:lang w:val="en-US"/>
              </w:rPr>
              <w:t>10:00</w:t>
            </w:r>
            <w:r w:rsidR="00496344" w:rsidRPr="003E1A35">
              <w:rPr>
                <w:rFonts w:cs="Times New Roman"/>
                <w:color w:val="000000" w:themeColor="text1"/>
                <w:lang w:val="en-US"/>
              </w:rPr>
              <w:t>-</w:t>
            </w:r>
            <w:r w:rsidRPr="003E1A35">
              <w:rPr>
                <w:rFonts w:cs="Times New Roman"/>
                <w:color w:val="000000" w:themeColor="text1"/>
                <w:lang w:val="en-US"/>
              </w:rPr>
              <w:t>10</w:t>
            </w:r>
            <w:r w:rsidR="00496344" w:rsidRPr="003E1A35">
              <w:rPr>
                <w:rFonts w:cs="Times New Roman"/>
                <w:color w:val="000000" w:themeColor="text1"/>
                <w:lang w:val="en-US"/>
              </w:rPr>
              <w:t>:1</w:t>
            </w:r>
            <w:r w:rsidRPr="003E1A35">
              <w:rPr>
                <w:rFonts w:cs="Times New Roman"/>
                <w:color w:val="000000" w:themeColor="text1"/>
                <w:lang w:val="en-US"/>
              </w:rPr>
              <w:t>5</w:t>
            </w:r>
            <w:r w:rsidR="00496344" w:rsidRPr="003E1A35">
              <w:rPr>
                <w:rFonts w:cs="Times New Roman"/>
                <w:color w:val="000000" w:themeColor="text1"/>
                <w:lang w:val="en-US"/>
              </w:rPr>
              <w:t xml:space="preserve"> </w:t>
            </w:r>
          </w:p>
        </w:tc>
        <w:tc>
          <w:tcPr>
            <w:tcW w:w="8146" w:type="dxa"/>
          </w:tcPr>
          <w:p w:rsidR="00496344" w:rsidRPr="003E1A35" w:rsidRDefault="00496344" w:rsidP="00A03201">
            <w:pPr>
              <w:rPr>
                <w:b/>
                <w:sz w:val="28"/>
                <w:lang w:val="en-US"/>
              </w:rPr>
            </w:pPr>
            <w:r w:rsidRPr="003E1A35">
              <w:rPr>
                <w:b/>
                <w:sz w:val="28"/>
                <w:lang w:val="en-US"/>
              </w:rPr>
              <w:t>Opening and Welcome</w:t>
            </w:r>
          </w:p>
          <w:p w:rsidR="00496344" w:rsidRPr="003E1A35" w:rsidRDefault="007B5436" w:rsidP="007B5436">
            <w:pPr>
              <w:pStyle w:val="ListParagraph"/>
              <w:numPr>
                <w:ilvl w:val="0"/>
                <w:numId w:val="12"/>
              </w:numPr>
              <w:rPr>
                <w:rFonts w:asciiTheme="minorHAnsi" w:hAnsiTheme="minorHAnsi"/>
              </w:rPr>
            </w:pPr>
            <w:r w:rsidRPr="003E1A35">
              <w:rPr>
                <w:rFonts w:asciiTheme="minorHAnsi" w:hAnsiTheme="minorHAnsi"/>
              </w:rPr>
              <w:t>O</w:t>
            </w:r>
            <w:r w:rsidR="00496344" w:rsidRPr="003E1A35">
              <w:rPr>
                <w:rFonts w:asciiTheme="minorHAnsi" w:hAnsiTheme="minorHAnsi"/>
              </w:rPr>
              <w:t>ECD</w:t>
            </w:r>
          </w:p>
          <w:p w:rsidR="003C7184" w:rsidRPr="003E1A35" w:rsidRDefault="00B17391" w:rsidP="009A264E">
            <w:pPr>
              <w:pStyle w:val="ListParagraph"/>
              <w:numPr>
                <w:ilvl w:val="0"/>
                <w:numId w:val="12"/>
              </w:numPr>
              <w:rPr>
                <w:rFonts w:asciiTheme="minorHAnsi" w:hAnsiTheme="minorHAnsi"/>
              </w:rPr>
            </w:pPr>
            <w:r>
              <w:rPr>
                <w:rFonts w:asciiTheme="minorHAnsi" w:hAnsiTheme="minorHAnsi"/>
              </w:rPr>
              <w:t>European Cluster Observatory</w:t>
            </w:r>
          </w:p>
        </w:tc>
      </w:tr>
      <w:tr w:rsidR="00496344" w:rsidRPr="00F741D8" w:rsidTr="00F9224E">
        <w:tc>
          <w:tcPr>
            <w:tcW w:w="1493" w:type="dxa"/>
            <w:shd w:val="clear" w:color="auto" w:fill="C6D9F1" w:themeFill="text2" w:themeFillTint="33"/>
          </w:tcPr>
          <w:p w:rsidR="00496344" w:rsidRPr="003E1A35" w:rsidRDefault="003C7184" w:rsidP="003C7184">
            <w:pPr>
              <w:rPr>
                <w:rFonts w:cs="Times New Roman"/>
                <w:color w:val="FF0000"/>
                <w:lang w:val="en-US"/>
              </w:rPr>
            </w:pPr>
            <w:r w:rsidRPr="003E1A35">
              <w:rPr>
                <w:rFonts w:cs="Times New Roman"/>
                <w:color w:val="000000" w:themeColor="text1"/>
                <w:lang w:val="en-US"/>
              </w:rPr>
              <w:t>10:15</w:t>
            </w:r>
            <w:r w:rsidR="00496344" w:rsidRPr="003E1A35">
              <w:rPr>
                <w:rFonts w:cs="Times New Roman"/>
                <w:color w:val="000000" w:themeColor="text1"/>
                <w:lang w:val="en-US"/>
              </w:rPr>
              <w:t>-1</w:t>
            </w:r>
            <w:r w:rsidRPr="003E1A35">
              <w:rPr>
                <w:rFonts w:cs="Times New Roman"/>
                <w:color w:val="000000" w:themeColor="text1"/>
                <w:lang w:val="en-US"/>
              </w:rPr>
              <w:t>1</w:t>
            </w:r>
            <w:r w:rsidR="00496344" w:rsidRPr="003E1A35">
              <w:rPr>
                <w:rFonts w:cs="Times New Roman"/>
                <w:color w:val="000000" w:themeColor="text1"/>
                <w:lang w:val="en-US"/>
              </w:rPr>
              <w:t>:</w:t>
            </w:r>
            <w:r w:rsidR="00AA293C" w:rsidRPr="003E1A35">
              <w:rPr>
                <w:rFonts w:cs="Times New Roman"/>
                <w:color w:val="000000" w:themeColor="text1"/>
                <w:lang w:val="en-US"/>
              </w:rPr>
              <w:t>0</w:t>
            </w:r>
            <w:r w:rsidR="00496344" w:rsidRPr="003E1A35">
              <w:rPr>
                <w:rFonts w:cs="Times New Roman"/>
                <w:color w:val="000000" w:themeColor="text1"/>
                <w:lang w:val="en-US"/>
              </w:rPr>
              <w:t>0</w:t>
            </w:r>
          </w:p>
        </w:tc>
        <w:tc>
          <w:tcPr>
            <w:tcW w:w="8146" w:type="dxa"/>
            <w:shd w:val="clear" w:color="auto" w:fill="C6D9F1" w:themeFill="text2" w:themeFillTint="33"/>
          </w:tcPr>
          <w:p w:rsidR="00496344" w:rsidRPr="003E1A35" w:rsidRDefault="00496344" w:rsidP="00496344">
            <w:pPr>
              <w:rPr>
                <w:b/>
                <w:sz w:val="28"/>
                <w:lang w:val="en-US"/>
              </w:rPr>
            </w:pPr>
            <w:r w:rsidRPr="003E1A35">
              <w:rPr>
                <w:b/>
                <w:sz w:val="28"/>
                <w:lang w:val="en-US"/>
              </w:rPr>
              <w:t xml:space="preserve">Session 1:  </w:t>
            </w:r>
            <w:r w:rsidR="007B5436" w:rsidRPr="003E1A35">
              <w:rPr>
                <w:b/>
                <w:sz w:val="28"/>
                <w:lang w:val="en-US"/>
              </w:rPr>
              <w:t xml:space="preserve">New Policies </w:t>
            </w:r>
            <w:r w:rsidR="00A01C0B" w:rsidRPr="003E1A35">
              <w:rPr>
                <w:b/>
                <w:sz w:val="28"/>
                <w:lang w:val="en-US"/>
              </w:rPr>
              <w:t xml:space="preserve">to Use </w:t>
            </w:r>
            <w:r w:rsidR="007B5436" w:rsidRPr="003E1A35">
              <w:rPr>
                <w:b/>
                <w:sz w:val="28"/>
                <w:lang w:val="en-US"/>
              </w:rPr>
              <w:t xml:space="preserve"> Clusters </w:t>
            </w:r>
            <w:r w:rsidR="00A01C0B" w:rsidRPr="003E1A35">
              <w:rPr>
                <w:b/>
                <w:sz w:val="28"/>
                <w:lang w:val="en-US"/>
              </w:rPr>
              <w:t>as Tool to Support Emerging Industries and Entrepreneurship</w:t>
            </w:r>
          </w:p>
          <w:p w:rsidR="00F3149E" w:rsidRPr="003E1A35" w:rsidRDefault="00496344" w:rsidP="00AA293C">
            <w:pPr>
              <w:jc w:val="both"/>
              <w:rPr>
                <w:b/>
                <w:sz w:val="24"/>
                <w:szCs w:val="24"/>
                <w:lang w:val="en-US"/>
              </w:rPr>
            </w:pPr>
            <w:r w:rsidRPr="003E1A35">
              <w:rPr>
                <w:b/>
                <w:sz w:val="24"/>
                <w:szCs w:val="24"/>
                <w:lang w:val="en-US"/>
              </w:rPr>
              <w:t xml:space="preserve">In this </w:t>
            </w:r>
            <w:r w:rsidR="005F79C2" w:rsidRPr="003E1A35">
              <w:rPr>
                <w:b/>
                <w:sz w:val="24"/>
                <w:szCs w:val="24"/>
                <w:lang w:val="en-US"/>
              </w:rPr>
              <w:t xml:space="preserve">stage-setting </w:t>
            </w:r>
            <w:r w:rsidRPr="003E1A35">
              <w:rPr>
                <w:b/>
                <w:sz w:val="24"/>
                <w:szCs w:val="24"/>
                <w:lang w:val="en-US"/>
              </w:rPr>
              <w:t xml:space="preserve">session, </w:t>
            </w:r>
            <w:r w:rsidR="007B5436" w:rsidRPr="003E1A35">
              <w:rPr>
                <w:b/>
                <w:sz w:val="24"/>
                <w:szCs w:val="24"/>
                <w:lang w:val="en-US"/>
              </w:rPr>
              <w:t xml:space="preserve">the OECD Secretariat will present a survey of new </w:t>
            </w:r>
            <w:r w:rsidR="007B5436" w:rsidRPr="003E1A35">
              <w:rPr>
                <w:b/>
                <w:sz w:val="24"/>
                <w:szCs w:val="24"/>
                <w:lang w:val="en-US"/>
              </w:rPr>
              <w:lastRenderedPageBreak/>
              <w:t xml:space="preserve">policies in clusters being used in </w:t>
            </w:r>
            <w:r w:rsidR="006050E4">
              <w:rPr>
                <w:b/>
                <w:sz w:val="24"/>
                <w:szCs w:val="24"/>
                <w:lang w:val="en-US"/>
              </w:rPr>
              <w:t>member c</w:t>
            </w:r>
            <w:r w:rsidR="007B5436" w:rsidRPr="003E1A35">
              <w:rPr>
                <w:b/>
                <w:sz w:val="24"/>
                <w:szCs w:val="24"/>
                <w:lang w:val="en-US"/>
              </w:rPr>
              <w:t xml:space="preserve">ountries based on </w:t>
            </w:r>
            <w:r w:rsidR="006050E4">
              <w:rPr>
                <w:b/>
                <w:sz w:val="24"/>
                <w:szCs w:val="24"/>
                <w:lang w:val="en-US"/>
              </w:rPr>
              <w:t xml:space="preserve">the OECD’s Science, Technology and Innovation </w:t>
            </w:r>
            <w:r w:rsidR="007B5436" w:rsidRPr="003E1A35">
              <w:rPr>
                <w:b/>
                <w:sz w:val="24"/>
                <w:szCs w:val="24"/>
                <w:lang w:val="en-US"/>
              </w:rPr>
              <w:t>Outlook</w:t>
            </w:r>
            <w:bookmarkStart w:id="0" w:name="_GoBack"/>
            <w:bookmarkEnd w:id="0"/>
            <w:r w:rsidR="007B5436" w:rsidRPr="003E1A35">
              <w:rPr>
                <w:b/>
                <w:sz w:val="24"/>
                <w:szCs w:val="24"/>
                <w:lang w:val="en-US"/>
              </w:rPr>
              <w:t xml:space="preserve">. </w:t>
            </w:r>
            <w:r w:rsidR="00AA293C" w:rsidRPr="003E1A35">
              <w:rPr>
                <w:b/>
                <w:sz w:val="24"/>
                <w:szCs w:val="24"/>
                <w:lang w:val="en-US"/>
              </w:rPr>
              <w:t xml:space="preserve"> </w:t>
            </w:r>
          </w:p>
          <w:p w:rsidR="00496344" w:rsidRPr="003E1A35" w:rsidRDefault="00F3149E" w:rsidP="009A264E">
            <w:pPr>
              <w:jc w:val="both"/>
              <w:rPr>
                <w:lang w:val="en-US"/>
              </w:rPr>
            </w:pPr>
            <w:r w:rsidRPr="003E1A35">
              <w:rPr>
                <w:b/>
                <w:sz w:val="24"/>
                <w:szCs w:val="24"/>
                <w:lang w:val="en-US"/>
              </w:rPr>
              <w:t xml:space="preserve">The European </w:t>
            </w:r>
            <w:r w:rsidR="003C7184" w:rsidRPr="003E1A35">
              <w:rPr>
                <w:b/>
                <w:sz w:val="24"/>
                <w:szCs w:val="24"/>
                <w:lang w:val="en-US"/>
              </w:rPr>
              <w:t xml:space="preserve">Commission </w:t>
            </w:r>
            <w:r w:rsidRPr="003E1A35">
              <w:rPr>
                <w:b/>
                <w:sz w:val="24"/>
                <w:szCs w:val="24"/>
                <w:lang w:val="en-US"/>
              </w:rPr>
              <w:t xml:space="preserve">will present </w:t>
            </w:r>
            <w:r w:rsidR="003C7184" w:rsidRPr="003E1A35">
              <w:rPr>
                <w:b/>
                <w:sz w:val="24"/>
                <w:szCs w:val="24"/>
                <w:lang w:val="en-US"/>
              </w:rPr>
              <w:t>the Smart Cluster Policy Guide as well Policy their approach how to best promote clusters as tool to support E</w:t>
            </w:r>
            <w:r w:rsidRPr="003E1A35">
              <w:rPr>
                <w:b/>
                <w:sz w:val="24"/>
                <w:szCs w:val="24"/>
                <w:lang w:val="en-US"/>
              </w:rPr>
              <w:t xml:space="preserve">merging </w:t>
            </w:r>
            <w:r w:rsidR="003C7184" w:rsidRPr="003E1A35">
              <w:rPr>
                <w:b/>
                <w:sz w:val="24"/>
                <w:szCs w:val="24"/>
                <w:lang w:val="en-US"/>
              </w:rPr>
              <w:t>I</w:t>
            </w:r>
            <w:r w:rsidRPr="003E1A35">
              <w:rPr>
                <w:b/>
                <w:sz w:val="24"/>
                <w:szCs w:val="24"/>
                <w:lang w:val="en-US"/>
              </w:rPr>
              <w:t>ndustries</w:t>
            </w:r>
            <w:r w:rsidR="00CC1953" w:rsidRPr="003E1A35">
              <w:rPr>
                <w:b/>
                <w:sz w:val="24"/>
                <w:szCs w:val="24"/>
                <w:lang w:val="en-US"/>
              </w:rPr>
              <w:t xml:space="preserve">. </w:t>
            </w:r>
          </w:p>
        </w:tc>
      </w:tr>
      <w:tr w:rsidR="00784619" w:rsidRPr="00F741D8" w:rsidTr="00934316">
        <w:tc>
          <w:tcPr>
            <w:tcW w:w="1493" w:type="dxa"/>
            <w:tcBorders>
              <w:bottom w:val="single" w:sz="4" w:space="0" w:color="auto"/>
            </w:tcBorders>
          </w:tcPr>
          <w:p w:rsidR="00784619" w:rsidRPr="003E1A35" w:rsidRDefault="00784619" w:rsidP="00B767F8">
            <w:pPr>
              <w:rPr>
                <w:rFonts w:cs="Times New Roman"/>
                <w:color w:val="FF0000"/>
                <w:lang w:val="en-US"/>
              </w:rPr>
            </w:pPr>
          </w:p>
        </w:tc>
        <w:tc>
          <w:tcPr>
            <w:tcW w:w="8146" w:type="dxa"/>
            <w:tcBorders>
              <w:bottom w:val="single" w:sz="4" w:space="0" w:color="auto"/>
            </w:tcBorders>
          </w:tcPr>
          <w:p w:rsidR="008932C5" w:rsidRPr="003E1A35" w:rsidRDefault="007B5436" w:rsidP="007E7485">
            <w:pPr>
              <w:pStyle w:val="ListParagraph"/>
              <w:numPr>
                <w:ilvl w:val="0"/>
                <w:numId w:val="9"/>
              </w:numPr>
              <w:rPr>
                <w:rFonts w:asciiTheme="minorHAnsi" w:hAnsiTheme="minorHAnsi"/>
              </w:rPr>
            </w:pPr>
            <w:r w:rsidRPr="003E1A35">
              <w:rPr>
                <w:rFonts w:asciiTheme="minorHAnsi" w:hAnsiTheme="minorHAnsi"/>
              </w:rPr>
              <w:t xml:space="preserve">Presentation by OECD, </w:t>
            </w:r>
            <w:r w:rsidR="007E7485" w:rsidRPr="003E1A35">
              <w:rPr>
                <w:rFonts w:asciiTheme="minorHAnsi" w:hAnsiTheme="minorHAnsi"/>
              </w:rPr>
              <w:t xml:space="preserve">Mario Cervantes, Head of Secretariat TIP Working Party </w:t>
            </w:r>
          </w:p>
          <w:p w:rsidR="003D72C2" w:rsidRDefault="003D72C2" w:rsidP="003C7184">
            <w:pPr>
              <w:pStyle w:val="ListParagraph"/>
              <w:numPr>
                <w:ilvl w:val="0"/>
                <w:numId w:val="9"/>
              </w:numPr>
              <w:rPr>
                <w:rFonts w:asciiTheme="minorHAnsi" w:hAnsiTheme="minorHAnsi"/>
              </w:rPr>
            </w:pPr>
            <w:r>
              <w:rPr>
                <w:rFonts w:asciiTheme="minorHAnsi" w:hAnsiTheme="minorHAnsi"/>
              </w:rPr>
              <w:t xml:space="preserve">Presentation by </w:t>
            </w:r>
            <w:proofErr w:type="spellStart"/>
            <w:r>
              <w:rPr>
                <w:rFonts w:asciiTheme="minorHAnsi" w:hAnsiTheme="minorHAnsi"/>
              </w:rPr>
              <w:t>Englebert</w:t>
            </w:r>
            <w:proofErr w:type="spellEnd"/>
            <w:r>
              <w:rPr>
                <w:rFonts w:asciiTheme="minorHAnsi" w:hAnsiTheme="minorHAnsi"/>
              </w:rPr>
              <w:t xml:space="preserve"> Beyer, Innovation Strategy, BMBF, Germany </w:t>
            </w:r>
          </w:p>
          <w:p w:rsidR="00A01C0B" w:rsidRPr="003E1A35" w:rsidRDefault="003D72C2" w:rsidP="003C7184">
            <w:pPr>
              <w:pStyle w:val="ListParagraph"/>
              <w:numPr>
                <w:ilvl w:val="0"/>
                <w:numId w:val="9"/>
              </w:numPr>
              <w:rPr>
                <w:rFonts w:asciiTheme="minorHAnsi" w:hAnsiTheme="minorHAnsi"/>
              </w:rPr>
            </w:pPr>
            <w:r>
              <w:rPr>
                <w:rFonts w:asciiTheme="minorHAnsi" w:hAnsiTheme="minorHAnsi"/>
              </w:rPr>
              <w:t xml:space="preserve">Presentation by Jan Larosse, European Commission </w:t>
            </w:r>
          </w:p>
        </w:tc>
      </w:tr>
      <w:tr w:rsidR="003C7184" w:rsidRPr="00F741D8" w:rsidTr="00934316">
        <w:tc>
          <w:tcPr>
            <w:tcW w:w="1493" w:type="dxa"/>
            <w:shd w:val="clear" w:color="auto" w:fill="FFC000"/>
          </w:tcPr>
          <w:p w:rsidR="003C7184" w:rsidRPr="003E1A35" w:rsidRDefault="003C7184" w:rsidP="003C7184">
            <w:pPr>
              <w:rPr>
                <w:rFonts w:cs="Times New Roman"/>
                <w:color w:val="FF0000"/>
                <w:lang w:val="en-US"/>
              </w:rPr>
            </w:pPr>
            <w:r w:rsidRPr="003E1A35">
              <w:rPr>
                <w:rFonts w:cs="Times New Roman"/>
                <w:color w:val="000000" w:themeColor="text1"/>
                <w:lang w:val="en-US"/>
              </w:rPr>
              <w:t xml:space="preserve">11:00-11:45  </w:t>
            </w:r>
          </w:p>
        </w:tc>
        <w:tc>
          <w:tcPr>
            <w:tcW w:w="8146" w:type="dxa"/>
            <w:shd w:val="clear" w:color="auto" w:fill="FFC000"/>
          </w:tcPr>
          <w:p w:rsidR="003C7184" w:rsidRPr="003E1A35" w:rsidRDefault="003C7184" w:rsidP="001D66E3">
            <w:pPr>
              <w:rPr>
                <w:b/>
                <w:sz w:val="28"/>
                <w:lang w:val="en-US"/>
              </w:rPr>
            </w:pPr>
            <w:r w:rsidRPr="003E1A35">
              <w:rPr>
                <w:b/>
                <w:sz w:val="28"/>
                <w:lang w:val="en-US"/>
              </w:rPr>
              <w:t xml:space="preserve">Session 2:  The role of clusters in promoting start-ups for structural change and sustainability </w:t>
            </w:r>
          </w:p>
          <w:p w:rsidR="003C7184" w:rsidRPr="003E1A35" w:rsidRDefault="003C7184" w:rsidP="003C7184">
            <w:pPr>
              <w:jc w:val="both"/>
              <w:rPr>
                <w:rFonts w:cs="Times New Roman"/>
                <w:i/>
                <w:sz w:val="24"/>
                <w:szCs w:val="24"/>
                <w:lang w:val="en-US"/>
              </w:rPr>
            </w:pPr>
            <w:r w:rsidRPr="003E1A35">
              <w:rPr>
                <w:rFonts w:eastAsia="Times New Roman" w:cs="Times New Roman"/>
                <w:b/>
                <w:color w:val="000000"/>
                <w:sz w:val="24"/>
                <w:szCs w:val="24"/>
                <w:lang w:val="en-US"/>
              </w:rPr>
              <w:t xml:space="preserve">Clusters play an important role fostering system innovation and in nurturing start-ups in new industries. But as innovation policy has become focused on societal challenges, the direction not just the rate of new innovative firms has become an issue for policy makers. Many countries have separate policy approaches for cluster and entrepreneurial support in place. In order to cope with upcoming challenges, a more systematic approach is needed where cluster initiatives are integrated part of cluster-based regional development policy.   </w:t>
            </w:r>
          </w:p>
        </w:tc>
      </w:tr>
      <w:tr w:rsidR="003C7184" w:rsidRPr="00F741D8" w:rsidTr="003E1A35">
        <w:tc>
          <w:tcPr>
            <w:tcW w:w="1493" w:type="dxa"/>
            <w:shd w:val="clear" w:color="auto" w:fill="FFFFFF" w:themeFill="background1"/>
          </w:tcPr>
          <w:p w:rsidR="003C7184" w:rsidRPr="003E1A35" w:rsidRDefault="003C7184" w:rsidP="00934316">
            <w:pPr>
              <w:rPr>
                <w:rFonts w:cs="Times New Roman"/>
                <w:color w:val="000000" w:themeColor="text1"/>
                <w:lang w:val="en-US"/>
              </w:rPr>
            </w:pPr>
          </w:p>
        </w:tc>
        <w:tc>
          <w:tcPr>
            <w:tcW w:w="8146" w:type="dxa"/>
            <w:shd w:val="clear" w:color="auto" w:fill="FFFFFF" w:themeFill="background1"/>
          </w:tcPr>
          <w:p w:rsidR="004A4567" w:rsidRDefault="003C7184" w:rsidP="003C7184">
            <w:pPr>
              <w:pStyle w:val="Default"/>
              <w:rPr>
                <w:rFonts w:asciiTheme="minorHAnsi" w:hAnsiTheme="minorHAnsi"/>
                <w:b/>
              </w:rPr>
            </w:pPr>
            <w:r w:rsidRPr="003E1A35">
              <w:rPr>
                <w:rFonts w:asciiTheme="minorHAnsi" w:hAnsiTheme="minorHAnsi"/>
                <w:b/>
              </w:rPr>
              <w:t xml:space="preserve">How to use clusters as tool for systematic innovation </w:t>
            </w:r>
          </w:p>
          <w:p w:rsidR="003C7184" w:rsidRPr="003E1A35" w:rsidRDefault="009A264E" w:rsidP="004A4567">
            <w:pPr>
              <w:pStyle w:val="Default"/>
              <w:numPr>
                <w:ilvl w:val="0"/>
                <w:numId w:val="28"/>
              </w:numPr>
              <w:rPr>
                <w:rFonts w:asciiTheme="minorHAnsi" w:hAnsiTheme="minorHAnsi"/>
              </w:rPr>
            </w:pPr>
            <w:r>
              <w:rPr>
                <w:rFonts w:asciiTheme="minorHAnsi" w:hAnsiTheme="minorHAnsi"/>
              </w:rPr>
              <w:t xml:space="preserve">Prof. </w:t>
            </w:r>
            <w:r w:rsidR="003C7184" w:rsidRPr="003E1A35">
              <w:rPr>
                <w:rFonts w:asciiTheme="minorHAnsi" w:hAnsiTheme="minorHAnsi"/>
              </w:rPr>
              <w:t>Emily Wise, Lund University and IEC, Sweden</w:t>
            </w:r>
            <w:r>
              <w:rPr>
                <w:rFonts w:asciiTheme="minorHAnsi" w:hAnsiTheme="minorHAnsi"/>
              </w:rPr>
              <w:t xml:space="preserve">, </w:t>
            </w:r>
            <w:r w:rsidRPr="009A264E">
              <w:rPr>
                <w:rFonts w:asciiTheme="minorHAnsi" w:hAnsiTheme="minorHAnsi"/>
                <w:i/>
              </w:rPr>
              <w:t>tbc</w:t>
            </w:r>
            <w:r w:rsidR="003C7184" w:rsidRPr="003E1A35">
              <w:rPr>
                <w:rFonts w:asciiTheme="minorHAnsi" w:hAnsiTheme="minorHAnsi"/>
              </w:rPr>
              <w:t xml:space="preserve">) </w:t>
            </w:r>
          </w:p>
          <w:p w:rsidR="004A4567" w:rsidRDefault="004A4567" w:rsidP="003C7184">
            <w:pPr>
              <w:pStyle w:val="Default"/>
              <w:rPr>
                <w:rFonts w:asciiTheme="minorHAnsi" w:hAnsiTheme="minorHAnsi"/>
                <w:b/>
              </w:rPr>
            </w:pPr>
            <w:r>
              <w:rPr>
                <w:rFonts w:asciiTheme="minorHAnsi" w:hAnsiTheme="minorHAnsi"/>
                <w:b/>
              </w:rPr>
              <w:t xml:space="preserve">3 </w:t>
            </w:r>
            <w:r w:rsidR="003C7184" w:rsidRPr="003E1A35">
              <w:rPr>
                <w:rFonts w:asciiTheme="minorHAnsi" w:hAnsiTheme="minorHAnsi"/>
                <w:b/>
              </w:rPr>
              <w:t xml:space="preserve">Cluster policy approaches to support Emerging Industries </w:t>
            </w:r>
          </w:p>
          <w:p w:rsidR="004A4567" w:rsidRPr="004A4567" w:rsidRDefault="003C7184" w:rsidP="003C7184">
            <w:pPr>
              <w:pStyle w:val="Default"/>
              <w:numPr>
                <w:ilvl w:val="0"/>
                <w:numId w:val="27"/>
              </w:numPr>
              <w:rPr>
                <w:rFonts w:asciiTheme="minorHAnsi" w:hAnsiTheme="minorHAnsi"/>
                <w:b/>
              </w:rPr>
            </w:pPr>
            <w:r w:rsidRPr="004A4567">
              <w:rPr>
                <w:rFonts w:asciiTheme="minorHAnsi" w:hAnsiTheme="minorHAnsi"/>
              </w:rPr>
              <w:t xml:space="preserve">Mateja </w:t>
            </w:r>
            <w:proofErr w:type="spellStart"/>
            <w:r w:rsidRPr="004A4567">
              <w:rPr>
                <w:rFonts w:asciiTheme="minorHAnsi" w:hAnsiTheme="minorHAnsi"/>
              </w:rPr>
              <w:t>Dermastia</w:t>
            </w:r>
            <w:proofErr w:type="spellEnd"/>
            <w:r w:rsidRPr="004A4567">
              <w:rPr>
                <w:rFonts w:asciiTheme="minorHAnsi" w:hAnsiTheme="minorHAnsi"/>
              </w:rPr>
              <w:t>, Project Director Poly4EmI, Slovenia</w:t>
            </w:r>
            <w:r w:rsidR="009A264E" w:rsidRPr="004A4567">
              <w:rPr>
                <w:rFonts w:asciiTheme="minorHAnsi" w:hAnsiTheme="minorHAnsi"/>
              </w:rPr>
              <w:t xml:space="preserve">, </w:t>
            </w:r>
            <w:r w:rsidR="009A264E" w:rsidRPr="004A4567">
              <w:rPr>
                <w:rFonts w:asciiTheme="minorHAnsi" w:hAnsiTheme="minorHAnsi"/>
                <w:i/>
              </w:rPr>
              <w:t>tbc</w:t>
            </w:r>
          </w:p>
          <w:p w:rsidR="004A4567" w:rsidRPr="004A4567" w:rsidRDefault="004A4567" w:rsidP="003C7184">
            <w:pPr>
              <w:pStyle w:val="Default"/>
              <w:numPr>
                <w:ilvl w:val="0"/>
                <w:numId w:val="27"/>
              </w:numPr>
              <w:rPr>
                <w:rFonts w:asciiTheme="minorHAnsi" w:hAnsiTheme="minorHAnsi"/>
                <w:b/>
              </w:rPr>
            </w:pPr>
            <w:r w:rsidRPr="004A4567">
              <w:rPr>
                <w:rFonts w:asciiTheme="minorHAnsi" w:hAnsiTheme="minorHAnsi"/>
                <w:b/>
              </w:rPr>
              <w:t xml:space="preserve">Cross cluster approach in Belgium – Nano4health project </w:t>
            </w:r>
          </w:p>
          <w:p w:rsidR="009910CB" w:rsidRPr="003E1A35" w:rsidRDefault="003D72C2" w:rsidP="00D30C65">
            <w:pPr>
              <w:pStyle w:val="Default"/>
              <w:numPr>
                <w:ilvl w:val="0"/>
                <w:numId w:val="27"/>
              </w:numPr>
              <w:rPr>
                <w:rFonts w:asciiTheme="minorHAnsi" w:hAnsiTheme="minorHAnsi"/>
                <w:b/>
              </w:rPr>
            </w:pPr>
            <w:r>
              <w:rPr>
                <w:rFonts w:asciiTheme="minorHAnsi" w:hAnsiTheme="minorHAnsi"/>
              </w:rPr>
              <w:t>Margherita Rosso, R</w:t>
            </w:r>
            <w:r w:rsidRPr="003D72C2">
              <w:rPr>
                <w:rFonts w:asciiTheme="minorHAnsi" w:hAnsiTheme="minorHAnsi"/>
              </w:rPr>
              <w:t>egional innovation policy</w:t>
            </w:r>
            <w:r>
              <w:rPr>
                <w:rFonts w:asciiTheme="minorHAnsi" w:hAnsiTheme="minorHAnsi"/>
              </w:rPr>
              <w:t xml:space="preserve"> </w:t>
            </w:r>
            <w:r w:rsidRPr="003D72C2">
              <w:rPr>
                <w:rFonts w:asciiTheme="minorHAnsi" w:hAnsiTheme="minorHAnsi"/>
              </w:rPr>
              <w:t xml:space="preserve">to support SMEs clusters in Tuscany </w:t>
            </w:r>
          </w:p>
        </w:tc>
      </w:tr>
      <w:tr w:rsidR="003C7184" w:rsidRPr="00F741D8" w:rsidTr="003E1A35">
        <w:tc>
          <w:tcPr>
            <w:tcW w:w="1493" w:type="dxa"/>
            <w:shd w:val="clear" w:color="auto" w:fill="FFFFFF" w:themeFill="background1"/>
          </w:tcPr>
          <w:p w:rsidR="003C7184" w:rsidRPr="003E1A35" w:rsidRDefault="003C7184" w:rsidP="001D66E3">
            <w:pPr>
              <w:rPr>
                <w:color w:val="000000" w:themeColor="text1"/>
                <w:lang w:val="en-US"/>
              </w:rPr>
            </w:pPr>
            <w:r w:rsidRPr="003E1A35">
              <w:rPr>
                <w:color w:val="000000" w:themeColor="text1"/>
                <w:lang w:val="en-US"/>
              </w:rPr>
              <w:t>11:45 – 12:00</w:t>
            </w:r>
          </w:p>
        </w:tc>
        <w:tc>
          <w:tcPr>
            <w:tcW w:w="8146" w:type="dxa"/>
            <w:shd w:val="clear" w:color="auto" w:fill="FFFFFF" w:themeFill="background1"/>
          </w:tcPr>
          <w:p w:rsidR="003C7184" w:rsidRPr="003E1A35" w:rsidRDefault="003C7184" w:rsidP="001D66E3">
            <w:pPr>
              <w:rPr>
                <w:b/>
                <w:sz w:val="28"/>
                <w:lang w:val="en-US"/>
              </w:rPr>
            </w:pPr>
            <w:r w:rsidRPr="003E1A35">
              <w:rPr>
                <w:b/>
                <w:sz w:val="28"/>
                <w:lang w:val="en-US"/>
              </w:rPr>
              <w:t>Coffee Break</w:t>
            </w:r>
          </w:p>
        </w:tc>
      </w:tr>
      <w:tr w:rsidR="003C7184" w:rsidRPr="00F741D8" w:rsidTr="003E1A35">
        <w:tc>
          <w:tcPr>
            <w:tcW w:w="1493" w:type="dxa"/>
            <w:shd w:val="clear" w:color="auto" w:fill="C2D69B" w:themeFill="accent3" w:themeFillTint="99"/>
          </w:tcPr>
          <w:p w:rsidR="003C7184" w:rsidRPr="003E1A35" w:rsidRDefault="003C7184" w:rsidP="003C7184">
            <w:pPr>
              <w:rPr>
                <w:color w:val="000000" w:themeColor="text1"/>
                <w:lang w:val="en-US"/>
              </w:rPr>
            </w:pPr>
            <w:r w:rsidRPr="003E1A35">
              <w:rPr>
                <w:color w:val="000000" w:themeColor="text1"/>
                <w:lang w:val="en-US"/>
              </w:rPr>
              <w:t xml:space="preserve">12:00-13:00 </w:t>
            </w:r>
          </w:p>
        </w:tc>
        <w:tc>
          <w:tcPr>
            <w:tcW w:w="8146" w:type="dxa"/>
            <w:shd w:val="clear" w:color="auto" w:fill="C2D69B" w:themeFill="accent3" w:themeFillTint="99"/>
          </w:tcPr>
          <w:p w:rsidR="003C7184" w:rsidRPr="003E1A35" w:rsidRDefault="003C7184" w:rsidP="001D66E3">
            <w:pPr>
              <w:rPr>
                <w:b/>
                <w:sz w:val="28"/>
                <w:lang w:val="en-US"/>
              </w:rPr>
            </w:pPr>
            <w:r w:rsidRPr="003E1A35">
              <w:rPr>
                <w:b/>
                <w:sz w:val="28"/>
                <w:lang w:val="en-US"/>
              </w:rPr>
              <w:t xml:space="preserve">Session 3:  Tools and cluster management </w:t>
            </w:r>
            <w:r w:rsidR="0019356C">
              <w:rPr>
                <w:b/>
                <w:sz w:val="28"/>
                <w:lang w:val="en-US"/>
              </w:rPr>
              <w:t>s</w:t>
            </w:r>
            <w:r w:rsidRPr="003E1A35">
              <w:rPr>
                <w:b/>
                <w:sz w:val="28"/>
                <w:lang w:val="en-US"/>
              </w:rPr>
              <w:t xml:space="preserve">ervices to </w:t>
            </w:r>
            <w:r w:rsidR="0019356C">
              <w:rPr>
                <w:b/>
                <w:sz w:val="28"/>
                <w:lang w:val="en-US"/>
              </w:rPr>
              <w:t>h</w:t>
            </w:r>
            <w:r w:rsidRPr="003E1A35">
              <w:rPr>
                <w:b/>
                <w:sz w:val="28"/>
                <w:lang w:val="en-US"/>
              </w:rPr>
              <w:t xml:space="preserve">elp </w:t>
            </w:r>
            <w:r w:rsidR="0019356C">
              <w:rPr>
                <w:b/>
                <w:sz w:val="28"/>
                <w:lang w:val="en-US"/>
              </w:rPr>
              <w:t>i</w:t>
            </w:r>
            <w:r w:rsidRPr="003E1A35">
              <w:rPr>
                <w:b/>
                <w:sz w:val="28"/>
                <w:lang w:val="en-US"/>
              </w:rPr>
              <w:t xml:space="preserve">ncumbent </w:t>
            </w:r>
            <w:r w:rsidR="0019356C">
              <w:rPr>
                <w:b/>
                <w:sz w:val="28"/>
                <w:lang w:val="en-US"/>
              </w:rPr>
              <w:t>f</w:t>
            </w:r>
            <w:r w:rsidRPr="003E1A35">
              <w:rPr>
                <w:b/>
                <w:sz w:val="28"/>
                <w:lang w:val="en-US"/>
              </w:rPr>
              <w:t xml:space="preserve">irms to </w:t>
            </w:r>
            <w:r w:rsidR="0019356C">
              <w:rPr>
                <w:b/>
                <w:sz w:val="28"/>
                <w:lang w:val="en-US"/>
              </w:rPr>
              <w:t>i</w:t>
            </w:r>
            <w:r w:rsidRPr="003E1A35">
              <w:rPr>
                <w:b/>
                <w:sz w:val="28"/>
                <w:lang w:val="en-US"/>
              </w:rPr>
              <w:t xml:space="preserve">nnovate towards new value chains  </w:t>
            </w:r>
          </w:p>
          <w:p w:rsidR="003C7184" w:rsidRPr="003E1A35" w:rsidRDefault="003C7184" w:rsidP="003C7184">
            <w:pPr>
              <w:pStyle w:val="Default"/>
              <w:rPr>
                <w:rFonts w:asciiTheme="minorHAnsi" w:hAnsiTheme="minorHAnsi"/>
                <w:bCs/>
                <w:i/>
                <w:sz w:val="22"/>
                <w:szCs w:val="22"/>
              </w:rPr>
            </w:pPr>
            <w:r w:rsidRPr="003E1A35">
              <w:rPr>
                <w:rFonts w:asciiTheme="minorHAnsi" w:hAnsiTheme="minorHAnsi"/>
                <w:b/>
              </w:rPr>
              <w:t xml:space="preserve">In this session, good practices of systematic approaches will be presented how to support system innovation through new regional cooperation models and what role cluster organization can take over in this regard.      </w:t>
            </w:r>
          </w:p>
        </w:tc>
      </w:tr>
      <w:tr w:rsidR="003C7184" w:rsidRPr="00F741D8" w:rsidTr="003E1A35">
        <w:tc>
          <w:tcPr>
            <w:tcW w:w="1493" w:type="dxa"/>
            <w:shd w:val="clear" w:color="auto" w:fill="FFFFFF" w:themeFill="background1"/>
          </w:tcPr>
          <w:p w:rsidR="003C7184" w:rsidRPr="003E1A35" w:rsidRDefault="003C7184" w:rsidP="001D66E3">
            <w:pPr>
              <w:rPr>
                <w:rFonts w:eastAsia="Times New Roman" w:cs="Times New Roman"/>
                <w:color w:val="000000"/>
                <w:sz w:val="24"/>
                <w:szCs w:val="24"/>
                <w:lang w:val="en-US"/>
              </w:rPr>
            </w:pPr>
          </w:p>
        </w:tc>
        <w:tc>
          <w:tcPr>
            <w:tcW w:w="8146" w:type="dxa"/>
            <w:shd w:val="clear" w:color="auto" w:fill="FFFFFF" w:themeFill="background1"/>
          </w:tcPr>
          <w:p w:rsidR="003D72C2" w:rsidRPr="003D72C2" w:rsidRDefault="003D72C2" w:rsidP="001D66E3">
            <w:pPr>
              <w:pStyle w:val="ListParagraph"/>
              <w:numPr>
                <w:ilvl w:val="0"/>
                <w:numId w:val="25"/>
              </w:numPr>
              <w:rPr>
                <w:rFonts w:asciiTheme="minorHAnsi" w:eastAsia="Times New Roman" w:hAnsiTheme="minorHAnsi"/>
                <w:color w:val="000000"/>
              </w:rPr>
            </w:pPr>
            <w:proofErr w:type="spellStart"/>
            <w:r w:rsidRPr="003E1A35">
              <w:rPr>
                <w:rFonts w:asciiTheme="minorHAnsi" w:hAnsiTheme="minorHAnsi"/>
              </w:rPr>
              <w:t>Gerd</w:t>
            </w:r>
            <w:proofErr w:type="spellEnd"/>
            <w:r w:rsidRPr="003E1A35">
              <w:rPr>
                <w:rFonts w:asciiTheme="minorHAnsi" w:hAnsiTheme="minorHAnsi"/>
              </w:rPr>
              <w:t xml:space="preserve"> Meier </w:t>
            </w:r>
            <w:proofErr w:type="spellStart"/>
            <w:r w:rsidRPr="003E1A35">
              <w:rPr>
                <w:rFonts w:asciiTheme="minorHAnsi" w:hAnsiTheme="minorHAnsi"/>
              </w:rPr>
              <w:t>zu</w:t>
            </w:r>
            <w:proofErr w:type="spellEnd"/>
            <w:r w:rsidRPr="003E1A35">
              <w:rPr>
                <w:rFonts w:asciiTheme="minorHAnsi" w:hAnsiTheme="minorHAnsi"/>
              </w:rPr>
              <w:t xml:space="preserve"> </w:t>
            </w:r>
            <w:proofErr w:type="spellStart"/>
            <w:r w:rsidRPr="003E1A35">
              <w:rPr>
                <w:rFonts w:asciiTheme="minorHAnsi" w:hAnsiTheme="minorHAnsi"/>
              </w:rPr>
              <w:t>Köcker</w:t>
            </w:r>
            <w:proofErr w:type="spellEnd"/>
            <w:r w:rsidRPr="003E1A35">
              <w:rPr>
                <w:rFonts w:asciiTheme="minorHAnsi" w:hAnsiTheme="minorHAnsi"/>
              </w:rPr>
              <w:t xml:space="preserve">, Head of European Cluster Observatory Team </w:t>
            </w:r>
          </w:p>
          <w:p w:rsidR="003C7184" w:rsidRPr="003E1A35" w:rsidRDefault="003C7184" w:rsidP="001D66E3">
            <w:pPr>
              <w:pStyle w:val="ListParagraph"/>
              <w:numPr>
                <w:ilvl w:val="0"/>
                <w:numId w:val="25"/>
              </w:numPr>
              <w:rPr>
                <w:rFonts w:asciiTheme="minorHAnsi" w:eastAsia="Times New Roman" w:hAnsiTheme="minorHAnsi"/>
                <w:color w:val="000000"/>
              </w:rPr>
            </w:pPr>
            <w:r w:rsidRPr="003E1A35">
              <w:rPr>
                <w:rFonts w:asciiTheme="minorHAnsi" w:eastAsia="Times New Roman" w:hAnsiTheme="minorHAnsi"/>
                <w:color w:val="000000"/>
              </w:rPr>
              <w:t xml:space="preserve">The FISCH Approach – a systematic approach to support </w:t>
            </w:r>
            <w:proofErr w:type="spellStart"/>
            <w:r w:rsidRPr="003E1A35">
              <w:rPr>
                <w:rFonts w:asciiTheme="minorHAnsi" w:eastAsia="Times New Roman" w:hAnsiTheme="minorHAnsi"/>
                <w:color w:val="000000"/>
              </w:rPr>
              <w:t>entrepreneuership</w:t>
            </w:r>
            <w:proofErr w:type="spellEnd"/>
            <w:r w:rsidRPr="003E1A35">
              <w:rPr>
                <w:rFonts w:asciiTheme="minorHAnsi" w:eastAsia="Times New Roman" w:hAnsiTheme="minorHAnsi"/>
                <w:color w:val="000000"/>
              </w:rPr>
              <w:t xml:space="preserve"> in Emerging Industries</w:t>
            </w:r>
            <w:r w:rsidRPr="003E1A35">
              <w:rPr>
                <w:rFonts w:asciiTheme="minorHAnsi" w:eastAsia="Times New Roman" w:hAnsiTheme="minorHAnsi"/>
                <w:color w:val="000000"/>
              </w:rPr>
              <w:br/>
              <w:t xml:space="preserve">Sustainable Chemistry Cluster – </w:t>
            </w:r>
            <w:proofErr w:type="spellStart"/>
            <w:r w:rsidRPr="003E1A35">
              <w:rPr>
                <w:rFonts w:asciiTheme="minorHAnsi" w:eastAsia="Times New Roman" w:hAnsiTheme="minorHAnsi"/>
                <w:color w:val="000000"/>
              </w:rPr>
              <w:t>jvanhavenbergh</w:t>
            </w:r>
            <w:proofErr w:type="spellEnd"/>
            <w:r w:rsidRPr="003E1A35">
              <w:rPr>
                <w:rFonts w:asciiTheme="minorHAnsi" w:eastAsia="Times New Roman" w:hAnsiTheme="minorHAnsi"/>
                <w:color w:val="000000"/>
              </w:rPr>
              <w:t>, Belgium</w:t>
            </w:r>
          </w:p>
          <w:p w:rsidR="003C7184" w:rsidRPr="003E1A35" w:rsidRDefault="003C7184" w:rsidP="001D66E3">
            <w:pPr>
              <w:pStyle w:val="ListParagraph"/>
              <w:numPr>
                <w:ilvl w:val="0"/>
                <w:numId w:val="25"/>
              </w:numPr>
              <w:rPr>
                <w:rFonts w:asciiTheme="minorHAnsi" w:eastAsia="Times New Roman" w:hAnsiTheme="minorHAnsi"/>
                <w:color w:val="000000"/>
              </w:rPr>
            </w:pPr>
            <w:r w:rsidRPr="003E1A35">
              <w:rPr>
                <w:rFonts w:asciiTheme="minorHAnsi" w:eastAsia="Times New Roman" w:hAnsiTheme="minorHAnsi"/>
                <w:color w:val="000000"/>
              </w:rPr>
              <w:t>Stan Higgins, North East of England Process Industry Cluster, UK</w:t>
            </w:r>
          </w:p>
          <w:p w:rsidR="003C7184" w:rsidRPr="00742FAB" w:rsidRDefault="003C7184" w:rsidP="001D66E3">
            <w:pPr>
              <w:pStyle w:val="ListParagraph"/>
              <w:numPr>
                <w:ilvl w:val="0"/>
                <w:numId w:val="25"/>
              </w:numPr>
              <w:rPr>
                <w:rFonts w:asciiTheme="minorHAnsi" w:eastAsia="Times New Roman" w:hAnsiTheme="minorHAnsi"/>
                <w:b/>
                <w:color w:val="000000"/>
              </w:rPr>
            </w:pPr>
            <w:proofErr w:type="spellStart"/>
            <w:r w:rsidRPr="003E1A35">
              <w:rPr>
                <w:rFonts w:asciiTheme="minorHAnsi" w:eastAsia="Times New Roman" w:hAnsiTheme="minorHAnsi"/>
                <w:color w:val="000000"/>
              </w:rPr>
              <w:lastRenderedPageBreak/>
              <w:t>Elmar</w:t>
            </w:r>
            <w:proofErr w:type="spellEnd"/>
            <w:r w:rsidRPr="003E1A35">
              <w:rPr>
                <w:rFonts w:asciiTheme="minorHAnsi" w:eastAsia="Times New Roman" w:hAnsiTheme="minorHAnsi"/>
                <w:color w:val="000000"/>
              </w:rPr>
              <w:t xml:space="preserve"> Bourdon,  Cluster Medical Devices, Mannheim, Germany</w:t>
            </w:r>
            <w:r w:rsidRPr="003E1A35">
              <w:rPr>
                <w:rFonts w:asciiTheme="minorHAnsi" w:hAnsiTheme="minorHAnsi"/>
                <w:i/>
              </w:rPr>
              <w:t xml:space="preserve">   </w:t>
            </w:r>
          </w:p>
          <w:p w:rsidR="00742FAB" w:rsidRPr="003D72C2" w:rsidRDefault="00742FAB" w:rsidP="003D72C2">
            <w:pPr>
              <w:ind w:left="360"/>
              <w:rPr>
                <w:rFonts w:eastAsia="Times New Roman"/>
                <w:b/>
                <w:color w:val="000000"/>
              </w:rPr>
            </w:pPr>
          </w:p>
        </w:tc>
      </w:tr>
      <w:tr w:rsidR="003C7184" w:rsidRPr="00F741D8" w:rsidTr="003E1A35">
        <w:tc>
          <w:tcPr>
            <w:tcW w:w="1493" w:type="dxa"/>
            <w:shd w:val="clear" w:color="auto" w:fill="FFFFFF" w:themeFill="background1"/>
          </w:tcPr>
          <w:p w:rsidR="003C7184" w:rsidRPr="003E1A35" w:rsidRDefault="003C7184" w:rsidP="00934316">
            <w:pPr>
              <w:rPr>
                <w:rFonts w:cs="Times New Roman"/>
                <w:color w:val="000000" w:themeColor="text1"/>
                <w:lang w:val="en-US"/>
              </w:rPr>
            </w:pPr>
            <w:r w:rsidRPr="003E1A35">
              <w:rPr>
                <w:rFonts w:cs="Times New Roman"/>
                <w:color w:val="000000" w:themeColor="text1"/>
                <w:lang w:val="en-US"/>
              </w:rPr>
              <w:lastRenderedPageBreak/>
              <w:t>13:00 – 14:00</w:t>
            </w:r>
          </w:p>
        </w:tc>
        <w:tc>
          <w:tcPr>
            <w:tcW w:w="8146" w:type="dxa"/>
            <w:shd w:val="clear" w:color="auto" w:fill="FFFFFF" w:themeFill="background1"/>
          </w:tcPr>
          <w:p w:rsidR="003C7184" w:rsidRPr="003E1A35" w:rsidRDefault="003C7184" w:rsidP="00934316">
            <w:pPr>
              <w:rPr>
                <w:b/>
                <w:sz w:val="28"/>
                <w:lang w:val="en-US"/>
              </w:rPr>
            </w:pPr>
            <w:r w:rsidRPr="003E1A35">
              <w:rPr>
                <w:b/>
                <w:sz w:val="28"/>
                <w:lang w:val="en-US"/>
              </w:rPr>
              <w:t>Lunch Break</w:t>
            </w:r>
          </w:p>
        </w:tc>
      </w:tr>
      <w:tr w:rsidR="00CF1429" w:rsidRPr="00F741D8" w:rsidTr="00934316">
        <w:tc>
          <w:tcPr>
            <w:tcW w:w="1493" w:type="dxa"/>
            <w:shd w:val="clear" w:color="auto" w:fill="FFC000"/>
          </w:tcPr>
          <w:p w:rsidR="00CF1429" w:rsidRPr="003E1A35" w:rsidRDefault="008932C5" w:rsidP="003C7184">
            <w:pPr>
              <w:rPr>
                <w:rFonts w:cs="Times New Roman"/>
                <w:color w:val="FF0000"/>
                <w:lang w:val="en-US"/>
              </w:rPr>
            </w:pPr>
            <w:r w:rsidRPr="003E1A35">
              <w:rPr>
                <w:rFonts w:cs="Times New Roman"/>
                <w:color w:val="000000" w:themeColor="text1"/>
                <w:lang w:val="en-US"/>
              </w:rPr>
              <w:t>1</w:t>
            </w:r>
            <w:r w:rsidR="003C7184" w:rsidRPr="003E1A35">
              <w:rPr>
                <w:rFonts w:cs="Times New Roman"/>
                <w:color w:val="000000" w:themeColor="text1"/>
                <w:lang w:val="en-US"/>
              </w:rPr>
              <w:t>4</w:t>
            </w:r>
            <w:r w:rsidRPr="003E1A35">
              <w:rPr>
                <w:rFonts w:cs="Times New Roman"/>
                <w:color w:val="000000" w:themeColor="text1"/>
                <w:lang w:val="en-US"/>
              </w:rPr>
              <w:t>:</w:t>
            </w:r>
            <w:r w:rsidR="00AA293C" w:rsidRPr="003E1A35">
              <w:rPr>
                <w:rFonts w:cs="Times New Roman"/>
                <w:color w:val="000000" w:themeColor="text1"/>
                <w:lang w:val="en-US"/>
              </w:rPr>
              <w:t>0</w:t>
            </w:r>
            <w:r w:rsidR="00B767F8" w:rsidRPr="003E1A35">
              <w:rPr>
                <w:rFonts w:cs="Times New Roman"/>
                <w:color w:val="000000" w:themeColor="text1"/>
                <w:lang w:val="en-US"/>
              </w:rPr>
              <w:t>0</w:t>
            </w:r>
            <w:r w:rsidRPr="003E1A35">
              <w:rPr>
                <w:rFonts w:cs="Times New Roman"/>
                <w:color w:val="000000" w:themeColor="text1"/>
                <w:lang w:val="en-US"/>
              </w:rPr>
              <w:t>-1</w:t>
            </w:r>
            <w:r w:rsidR="003C7184" w:rsidRPr="003E1A35">
              <w:rPr>
                <w:rFonts w:cs="Times New Roman"/>
                <w:color w:val="000000" w:themeColor="text1"/>
                <w:lang w:val="en-US"/>
              </w:rPr>
              <w:t>5</w:t>
            </w:r>
            <w:r w:rsidRPr="003E1A35">
              <w:rPr>
                <w:rFonts w:cs="Times New Roman"/>
                <w:color w:val="000000" w:themeColor="text1"/>
                <w:lang w:val="en-US"/>
              </w:rPr>
              <w:t>:</w:t>
            </w:r>
            <w:r w:rsidR="003C7184" w:rsidRPr="003E1A35">
              <w:rPr>
                <w:rFonts w:cs="Times New Roman"/>
                <w:color w:val="000000" w:themeColor="text1"/>
                <w:lang w:val="en-US"/>
              </w:rPr>
              <w:t>00</w:t>
            </w:r>
            <w:r w:rsidRPr="003E1A35">
              <w:rPr>
                <w:rFonts w:cs="Times New Roman"/>
                <w:color w:val="000000" w:themeColor="text1"/>
                <w:lang w:val="en-US"/>
              </w:rPr>
              <w:t xml:space="preserve"> </w:t>
            </w:r>
          </w:p>
        </w:tc>
        <w:tc>
          <w:tcPr>
            <w:tcW w:w="8146" w:type="dxa"/>
            <w:shd w:val="clear" w:color="auto" w:fill="FFC000"/>
          </w:tcPr>
          <w:p w:rsidR="00934316" w:rsidRPr="003E1A35" w:rsidRDefault="00837DF6" w:rsidP="00934316">
            <w:pPr>
              <w:rPr>
                <w:b/>
                <w:sz w:val="28"/>
                <w:lang w:val="en-US"/>
              </w:rPr>
            </w:pPr>
            <w:r w:rsidRPr="003E1A35">
              <w:rPr>
                <w:b/>
                <w:sz w:val="28"/>
                <w:lang w:val="en-US"/>
              </w:rPr>
              <w:t xml:space="preserve">Session </w:t>
            </w:r>
            <w:r w:rsidR="003C7184" w:rsidRPr="003E1A35">
              <w:rPr>
                <w:b/>
                <w:sz w:val="28"/>
                <w:lang w:val="en-US"/>
              </w:rPr>
              <w:t>4</w:t>
            </w:r>
            <w:r w:rsidRPr="003E1A35">
              <w:rPr>
                <w:b/>
                <w:sz w:val="28"/>
                <w:lang w:val="en-US"/>
              </w:rPr>
              <w:t xml:space="preserve">: </w:t>
            </w:r>
            <w:r w:rsidR="00505F0B" w:rsidRPr="003E1A35">
              <w:rPr>
                <w:b/>
                <w:sz w:val="28"/>
                <w:lang w:val="en-US"/>
              </w:rPr>
              <w:t>Inter-active b</w:t>
            </w:r>
            <w:r w:rsidR="00934316" w:rsidRPr="003E1A35">
              <w:rPr>
                <w:b/>
                <w:sz w:val="28"/>
                <w:lang w:val="en-US"/>
              </w:rPr>
              <w:t>reakout groups:</w:t>
            </w:r>
            <w:r w:rsidR="00505F0B" w:rsidRPr="003E1A35">
              <w:rPr>
                <w:b/>
                <w:sz w:val="28"/>
                <w:lang w:val="en-US"/>
              </w:rPr>
              <w:t xml:space="preserve">  Policy </w:t>
            </w:r>
            <w:r w:rsidR="009A180B" w:rsidRPr="003E1A35">
              <w:rPr>
                <w:b/>
                <w:sz w:val="28"/>
                <w:lang w:val="en-US"/>
              </w:rPr>
              <w:t>m</w:t>
            </w:r>
            <w:r w:rsidR="00505F0B" w:rsidRPr="003E1A35">
              <w:rPr>
                <w:b/>
                <w:sz w:val="28"/>
                <w:lang w:val="en-US"/>
              </w:rPr>
              <w:t xml:space="preserve">akers and </w:t>
            </w:r>
            <w:r w:rsidR="009A180B" w:rsidRPr="003E1A35">
              <w:rPr>
                <w:b/>
                <w:sz w:val="28"/>
                <w:lang w:val="en-US"/>
              </w:rPr>
              <w:t>c</w:t>
            </w:r>
            <w:r w:rsidR="00505F0B" w:rsidRPr="003E1A35">
              <w:rPr>
                <w:b/>
                <w:sz w:val="28"/>
                <w:lang w:val="en-US"/>
              </w:rPr>
              <w:t xml:space="preserve">luster </w:t>
            </w:r>
            <w:r w:rsidR="009A180B" w:rsidRPr="003E1A35">
              <w:rPr>
                <w:b/>
                <w:sz w:val="28"/>
                <w:lang w:val="en-US"/>
              </w:rPr>
              <w:t>m</w:t>
            </w:r>
            <w:r w:rsidR="00505F0B" w:rsidRPr="003E1A35">
              <w:rPr>
                <w:b/>
                <w:sz w:val="28"/>
                <w:lang w:val="en-US"/>
              </w:rPr>
              <w:t>anager</w:t>
            </w:r>
            <w:r w:rsidR="0019356C">
              <w:rPr>
                <w:b/>
                <w:sz w:val="28"/>
                <w:lang w:val="en-US"/>
              </w:rPr>
              <w:t>s</w:t>
            </w:r>
            <w:r w:rsidR="00505F0B" w:rsidRPr="003E1A35">
              <w:rPr>
                <w:b/>
                <w:sz w:val="28"/>
                <w:lang w:val="en-US"/>
              </w:rPr>
              <w:t xml:space="preserve"> will </w:t>
            </w:r>
            <w:r w:rsidR="0019356C">
              <w:rPr>
                <w:b/>
                <w:sz w:val="28"/>
                <w:lang w:val="en-US"/>
              </w:rPr>
              <w:t xml:space="preserve">together </w:t>
            </w:r>
            <w:r w:rsidR="00505F0B" w:rsidRPr="003E1A35">
              <w:rPr>
                <w:b/>
                <w:sz w:val="28"/>
                <w:lang w:val="en-US"/>
              </w:rPr>
              <w:t>discuss how to make cluster policies more suited for emerging industries and sustainability.</w:t>
            </w:r>
            <w:r w:rsidR="00934316" w:rsidRPr="003E1A35">
              <w:rPr>
                <w:b/>
                <w:sz w:val="28"/>
                <w:lang w:val="en-US"/>
              </w:rPr>
              <w:t xml:space="preserve"> </w:t>
            </w:r>
          </w:p>
          <w:p w:rsidR="00934316" w:rsidRPr="003E1A35" w:rsidRDefault="00934316" w:rsidP="00934316">
            <w:pPr>
              <w:rPr>
                <w:rFonts w:cs="Times New Roman"/>
                <w:sz w:val="24"/>
                <w:szCs w:val="24"/>
                <w:lang w:val="en-US"/>
              </w:rPr>
            </w:pPr>
            <w:r w:rsidRPr="003E1A35">
              <w:rPr>
                <w:rFonts w:cs="Times New Roman"/>
                <w:sz w:val="24"/>
                <w:szCs w:val="24"/>
                <w:lang w:val="en-US"/>
              </w:rPr>
              <w:t>The participants would split up into two groups and explore</w:t>
            </w:r>
            <w:r w:rsidR="00505F0B" w:rsidRPr="003E1A35">
              <w:rPr>
                <w:rFonts w:cs="Times New Roman"/>
                <w:sz w:val="24"/>
                <w:szCs w:val="24"/>
                <w:lang w:val="en-US"/>
              </w:rPr>
              <w:t xml:space="preserve"> the issue of how cluster policies can </w:t>
            </w:r>
            <w:r w:rsidR="00A01C0B" w:rsidRPr="003E1A35">
              <w:rPr>
                <w:rFonts w:cs="Times New Roman"/>
                <w:sz w:val="24"/>
                <w:szCs w:val="24"/>
                <w:lang w:val="en-US"/>
              </w:rPr>
              <w:t xml:space="preserve">make better use of clusters </w:t>
            </w:r>
            <w:r w:rsidR="00505F0B" w:rsidRPr="003E1A35">
              <w:rPr>
                <w:rFonts w:cs="Times New Roman"/>
                <w:sz w:val="24"/>
                <w:szCs w:val="24"/>
                <w:lang w:val="en-US"/>
              </w:rPr>
              <w:t>to accelerate the development of new industries and technologies that help address the dual goals of competitiveness and sustainability.</w:t>
            </w:r>
            <w:r w:rsidR="00A01C0B" w:rsidRPr="003E1A35">
              <w:rPr>
                <w:rFonts w:cs="Times New Roman"/>
                <w:sz w:val="24"/>
                <w:szCs w:val="24"/>
                <w:lang w:val="en-US"/>
              </w:rPr>
              <w:t xml:space="preserve"> What are new elements of cluster policies to meet the needs of industry and science in Emerging Industries? What are key determinants for sustainable cluster-based economic policies?</w:t>
            </w:r>
            <w:r w:rsidR="00505F0B" w:rsidRPr="003E1A35">
              <w:rPr>
                <w:rFonts w:cs="Times New Roman"/>
                <w:sz w:val="24"/>
                <w:szCs w:val="24"/>
                <w:lang w:val="en-US"/>
              </w:rPr>
              <w:t xml:space="preserve">  </w:t>
            </w:r>
          </w:p>
          <w:p w:rsidR="00F9224E" w:rsidRPr="003E1A35" w:rsidRDefault="00505F0B" w:rsidP="00505F0B">
            <w:pPr>
              <w:rPr>
                <w:rFonts w:cs="Times New Roman"/>
                <w:i/>
                <w:sz w:val="24"/>
                <w:szCs w:val="24"/>
              </w:rPr>
            </w:pPr>
            <w:r w:rsidRPr="003E1A35">
              <w:rPr>
                <w:rFonts w:cs="Times New Roman"/>
                <w:sz w:val="24"/>
                <w:szCs w:val="24"/>
                <w:lang w:val="en-US"/>
              </w:rPr>
              <w:t xml:space="preserve">For each group a rapporteur will be designated who will collate the ideas from participants and present them after the lunch. </w:t>
            </w:r>
          </w:p>
        </w:tc>
      </w:tr>
      <w:tr w:rsidR="003C7184" w:rsidRPr="00A46A93" w:rsidTr="003E1A35">
        <w:tc>
          <w:tcPr>
            <w:tcW w:w="1493" w:type="dxa"/>
            <w:shd w:val="clear" w:color="auto" w:fill="FBD4B4" w:themeFill="accent6" w:themeFillTint="66"/>
          </w:tcPr>
          <w:p w:rsidR="003C7184" w:rsidRPr="003E1A35" w:rsidRDefault="003C7184" w:rsidP="003C7184">
            <w:r w:rsidRPr="003E1A35">
              <w:t xml:space="preserve">15:00-15:30  </w:t>
            </w:r>
          </w:p>
        </w:tc>
        <w:tc>
          <w:tcPr>
            <w:tcW w:w="8146" w:type="dxa"/>
            <w:shd w:val="clear" w:color="auto" w:fill="FBD4B4" w:themeFill="accent6" w:themeFillTint="66"/>
          </w:tcPr>
          <w:p w:rsidR="003C7184" w:rsidRPr="003E1A35" w:rsidRDefault="003C7184" w:rsidP="001D66E3">
            <w:pPr>
              <w:rPr>
                <w:i/>
              </w:rPr>
            </w:pPr>
            <w:r w:rsidRPr="003E1A35">
              <w:rPr>
                <w:b/>
                <w:sz w:val="28"/>
                <w:szCs w:val="28"/>
              </w:rPr>
              <w:t xml:space="preserve">Session </w:t>
            </w:r>
            <w:r w:rsidR="003E1A35">
              <w:rPr>
                <w:b/>
                <w:sz w:val="28"/>
                <w:szCs w:val="28"/>
              </w:rPr>
              <w:t>5</w:t>
            </w:r>
            <w:r w:rsidRPr="003E1A35">
              <w:rPr>
                <w:b/>
                <w:sz w:val="28"/>
                <w:szCs w:val="28"/>
              </w:rPr>
              <w:t xml:space="preserve">: The Way Ahead Concluding Session </w:t>
            </w:r>
            <w:r w:rsidRPr="003E1A35">
              <w:rPr>
                <w:i/>
              </w:rPr>
              <w:t xml:space="preserve"> </w:t>
            </w:r>
            <w:r w:rsidR="00953114">
              <w:rPr>
                <w:i/>
              </w:rPr>
              <w:t xml:space="preserve">(Jan Larosse ) </w:t>
            </w:r>
          </w:p>
          <w:p w:rsidR="003C7184" w:rsidRDefault="003C7184" w:rsidP="001D66E3">
            <w:pPr>
              <w:autoSpaceDE w:val="0"/>
              <w:autoSpaceDN w:val="0"/>
              <w:adjustRightInd w:val="0"/>
              <w:spacing w:after="0" w:line="240" w:lineRule="auto"/>
              <w:rPr>
                <w:rFonts w:cs="Times New Roman"/>
                <w:b/>
                <w:bCs/>
                <w:sz w:val="24"/>
                <w:szCs w:val="24"/>
              </w:rPr>
            </w:pPr>
            <w:r w:rsidRPr="003E1A35">
              <w:rPr>
                <w:rFonts w:cs="Times New Roman"/>
                <w:b/>
                <w:bCs/>
                <w:sz w:val="24"/>
                <w:szCs w:val="24"/>
              </w:rPr>
              <w:t>Supporting interregional cluster cooperation for smart specialisation investments to boost growth</w:t>
            </w:r>
          </w:p>
          <w:p w:rsidR="00953114" w:rsidRPr="003D72C2" w:rsidRDefault="00953114" w:rsidP="00953114">
            <w:pPr>
              <w:pStyle w:val="ListParagraph"/>
              <w:numPr>
                <w:ilvl w:val="0"/>
                <w:numId w:val="30"/>
              </w:numPr>
              <w:autoSpaceDE w:val="0"/>
              <w:autoSpaceDN w:val="0"/>
              <w:adjustRightInd w:val="0"/>
              <w:rPr>
                <w:rFonts w:asciiTheme="minorHAnsi" w:hAnsiTheme="minorHAnsi"/>
              </w:rPr>
            </w:pPr>
            <w:r w:rsidRPr="003D72C2">
              <w:rPr>
                <w:rFonts w:asciiTheme="minorHAnsi" w:hAnsiTheme="minorHAnsi"/>
              </w:rPr>
              <w:t>Platform</w:t>
            </w:r>
            <w:r w:rsidR="003D72C2">
              <w:rPr>
                <w:rFonts w:asciiTheme="minorHAnsi" w:hAnsiTheme="minorHAnsi"/>
              </w:rPr>
              <w:t>s</w:t>
            </w:r>
            <w:r w:rsidRPr="003D72C2">
              <w:rPr>
                <w:rFonts w:asciiTheme="minorHAnsi" w:hAnsiTheme="minorHAnsi"/>
              </w:rPr>
              <w:t xml:space="preserve"> for Smart </w:t>
            </w:r>
            <w:proofErr w:type="spellStart"/>
            <w:r w:rsidRPr="003D72C2">
              <w:rPr>
                <w:rFonts w:asciiTheme="minorHAnsi" w:hAnsiTheme="minorHAnsi"/>
              </w:rPr>
              <w:t>Specialisation</w:t>
            </w:r>
            <w:proofErr w:type="spellEnd"/>
            <w:r w:rsidRPr="003D72C2">
              <w:rPr>
                <w:rFonts w:asciiTheme="minorHAnsi" w:hAnsiTheme="minorHAnsi"/>
              </w:rPr>
              <w:t xml:space="preserve"> (thematic)  </w:t>
            </w:r>
          </w:p>
          <w:p w:rsidR="00953114" w:rsidRPr="003D72C2" w:rsidRDefault="00953114" w:rsidP="00953114">
            <w:pPr>
              <w:pStyle w:val="ListParagraph"/>
              <w:numPr>
                <w:ilvl w:val="0"/>
                <w:numId w:val="30"/>
              </w:numPr>
              <w:autoSpaceDE w:val="0"/>
              <w:autoSpaceDN w:val="0"/>
              <w:adjustRightInd w:val="0"/>
              <w:rPr>
                <w:rFonts w:asciiTheme="minorHAnsi" w:hAnsiTheme="minorHAnsi"/>
              </w:rPr>
            </w:pPr>
            <w:r w:rsidRPr="003D72C2">
              <w:rPr>
                <w:rFonts w:asciiTheme="minorHAnsi" w:hAnsiTheme="minorHAnsi"/>
              </w:rPr>
              <w:t xml:space="preserve">Partnerships for Smart </w:t>
            </w:r>
            <w:proofErr w:type="spellStart"/>
            <w:r w:rsidRPr="003D72C2">
              <w:rPr>
                <w:rFonts w:asciiTheme="minorHAnsi" w:hAnsiTheme="minorHAnsi"/>
              </w:rPr>
              <w:t>Specialisation</w:t>
            </w:r>
            <w:proofErr w:type="spellEnd"/>
            <w:r w:rsidRPr="003D72C2">
              <w:rPr>
                <w:rFonts w:asciiTheme="minorHAnsi" w:hAnsiTheme="minorHAnsi"/>
              </w:rPr>
              <w:t xml:space="preserve"> </w:t>
            </w:r>
          </w:p>
          <w:p w:rsidR="003C7184" w:rsidRPr="003E1A35" w:rsidRDefault="003C7184" w:rsidP="001D66E3">
            <w:pPr>
              <w:autoSpaceDE w:val="0"/>
              <w:autoSpaceDN w:val="0"/>
              <w:adjustRightInd w:val="0"/>
              <w:spacing w:after="0" w:line="240" w:lineRule="auto"/>
              <w:rPr>
                <w:rFonts w:cs="Times New Roman"/>
                <w:bCs/>
                <w:sz w:val="24"/>
                <w:szCs w:val="24"/>
              </w:rPr>
            </w:pPr>
          </w:p>
          <w:p w:rsidR="003C7184" w:rsidRPr="003E1A35" w:rsidRDefault="003C7184" w:rsidP="001D66E3">
            <w:pPr>
              <w:autoSpaceDE w:val="0"/>
              <w:autoSpaceDN w:val="0"/>
              <w:adjustRightInd w:val="0"/>
              <w:spacing w:after="0" w:line="240" w:lineRule="auto"/>
              <w:rPr>
                <w:i/>
              </w:rPr>
            </w:pPr>
            <w:r w:rsidRPr="003E1A35">
              <w:rPr>
                <w:rFonts w:cs="Times New Roman"/>
                <w:bCs/>
                <w:sz w:val="24"/>
                <w:szCs w:val="24"/>
              </w:rPr>
              <w:t>N.N. DG GROW / DG REGIO</w:t>
            </w:r>
          </w:p>
        </w:tc>
      </w:tr>
      <w:tr w:rsidR="00505F0B" w:rsidRPr="00A46A93" w:rsidTr="003E1A35">
        <w:tc>
          <w:tcPr>
            <w:tcW w:w="1493" w:type="dxa"/>
            <w:shd w:val="clear" w:color="auto" w:fill="7F7F7F" w:themeFill="text1" w:themeFillTint="80"/>
          </w:tcPr>
          <w:p w:rsidR="00505F0B" w:rsidRPr="003E1A35" w:rsidRDefault="00505F0B" w:rsidP="003C7184">
            <w:pPr>
              <w:rPr>
                <w:rFonts w:cs="Times New Roman"/>
                <w:color w:val="FF0000"/>
                <w:lang w:val="en-US"/>
              </w:rPr>
            </w:pPr>
            <w:r w:rsidRPr="003E1A35">
              <w:rPr>
                <w:rFonts w:cs="Times New Roman"/>
                <w:color w:val="000000" w:themeColor="text1"/>
                <w:lang w:val="en-US"/>
              </w:rPr>
              <w:t>1</w:t>
            </w:r>
            <w:r w:rsidR="003C7184" w:rsidRPr="003E1A35">
              <w:rPr>
                <w:rFonts w:cs="Times New Roman"/>
                <w:color w:val="000000" w:themeColor="text1"/>
                <w:lang w:val="en-US"/>
              </w:rPr>
              <w:t>5</w:t>
            </w:r>
            <w:r w:rsidRPr="003E1A35">
              <w:rPr>
                <w:rFonts w:cs="Times New Roman"/>
                <w:color w:val="000000" w:themeColor="text1"/>
                <w:lang w:val="en-US"/>
              </w:rPr>
              <w:t>:30-1</w:t>
            </w:r>
            <w:r w:rsidR="003C7184" w:rsidRPr="003E1A35">
              <w:rPr>
                <w:rFonts w:cs="Times New Roman"/>
                <w:color w:val="000000" w:themeColor="text1"/>
                <w:lang w:val="en-US"/>
              </w:rPr>
              <w:t>6</w:t>
            </w:r>
            <w:r w:rsidRPr="003E1A35">
              <w:rPr>
                <w:rFonts w:cs="Times New Roman"/>
                <w:color w:val="000000" w:themeColor="text1"/>
                <w:lang w:val="en-US"/>
              </w:rPr>
              <w:t xml:space="preserve">:00 </w:t>
            </w:r>
          </w:p>
        </w:tc>
        <w:tc>
          <w:tcPr>
            <w:tcW w:w="8146" w:type="dxa"/>
            <w:shd w:val="clear" w:color="auto" w:fill="7F7F7F" w:themeFill="text1" w:themeFillTint="80"/>
          </w:tcPr>
          <w:p w:rsidR="00505F0B" w:rsidRPr="003E1A35" w:rsidRDefault="00505F0B" w:rsidP="00505F0B">
            <w:pPr>
              <w:rPr>
                <w:b/>
                <w:sz w:val="28"/>
                <w:lang w:val="en-US"/>
              </w:rPr>
            </w:pPr>
            <w:r w:rsidRPr="003E1A35">
              <w:rPr>
                <w:b/>
                <w:sz w:val="28"/>
                <w:lang w:val="en-US"/>
              </w:rPr>
              <w:t xml:space="preserve">Summaries from the Breakout groups </w:t>
            </w:r>
          </w:p>
          <w:p w:rsidR="00505F0B" w:rsidRPr="003E1A35" w:rsidRDefault="00505F0B" w:rsidP="00505F0B">
            <w:pPr>
              <w:rPr>
                <w:rFonts w:cs="Times New Roman"/>
                <w:sz w:val="24"/>
                <w:szCs w:val="24"/>
                <w:lang w:val="en-US"/>
              </w:rPr>
            </w:pPr>
            <w:r w:rsidRPr="003E1A35">
              <w:rPr>
                <w:rFonts w:cs="Times New Roman"/>
                <w:sz w:val="24"/>
                <w:szCs w:val="24"/>
                <w:lang w:val="en-US"/>
              </w:rPr>
              <w:t xml:space="preserve">Rapporteurs will present the summaries from the morning-break out session. </w:t>
            </w:r>
          </w:p>
          <w:p w:rsidR="00505F0B" w:rsidRPr="003E1A35" w:rsidRDefault="00505F0B" w:rsidP="00505F0B">
            <w:pPr>
              <w:rPr>
                <w:rFonts w:cs="Times New Roman"/>
                <w:i/>
                <w:sz w:val="24"/>
                <w:szCs w:val="24"/>
              </w:rPr>
            </w:pPr>
            <w:r w:rsidRPr="003E1A35">
              <w:rPr>
                <w:rFonts w:cs="Times New Roman"/>
                <w:sz w:val="24"/>
                <w:szCs w:val="24"/>
                <w:lang w:val="en-US"/>
              </w:rPr>
              <w:t xml:space="preserve">General discussion </w:t>
            </w:r>
          </w:p>
        </w:tc>
      </w:tr>
      <w:tr w:rsidR="00496344" w:rsidRPr="005316DB" w:rsidTr="00F9224E">
        <w:tc>
          <w:tcPr>
            <w:tcW w:w="1493" w:type="dxa"/>
            <w:shd w:val="clear" w:color="auto" w:fill="FFFFFF" w:themeFill="background1"/>
          </w:tcPr>
          <w:p w:rsidR="00496344" w:rsidRPr="003E1A35" w:rsidRDefault="00496344" w:rsidP="00AE0F82">
            <w:pPr>
              <w:rPr>
                <w:color w:val="000000" w:themeColor="text1"/>
                <w:lang w:val="en-US"/>
              </w:rPr>
            </w:pPr>
            <w:r w:rsidRPr="003E1A35">
              <w:rPr>
                <w:color w:val="000000" w:themeColor="text1"/>
                <w:lang w:val="en-US"/>
              </w:rPr>
              <w:t>1</w:t>
            </w:r>
            <w:r w:rsidR="00AE0F82" w:rsidRPr="003E1A35">
              <w:rPr>
                <w:color w:val="000000" w:themeColor="text1"/>
                <w:lang w:val="en-US"/>
              </w:rPr>
              <w:t>6</w:t>
            </w:r>
            <w:r w:rsidR="003C7184" w:rsidRPr="003E1A35">
              <w:rPr>
                <w:color w:val="000000" w:themeColor="text1"/>
                <w:lang w:val="en-US"/>
              </w:rPr>
              <w:t>:0</w:t>
            </w:r>
            <w:r w:rsidRPr="003E1A35">
              <w:rPr>
                <w:color w:val="000000" w:themeColor="text1"/>
                <w:lang w:val="en-US"/>
              </w:rPr>
              <w:t>0</w:t>
            </w:r>
          </w:p>
        </w:tc>
        <w:tc>
          <w:tcPr>
            <w:tcW w:w="8146" w:type="dxa"/>
            <w:shd w:val="clear" w:color="auto" w:fill="FFFFFF" w:themeFill="background1"/>
          </w:tcPr>
          <w:p w:rsidR="00496344" w:rsidRPr="003E1A35" w:rsidRDefault="00496344" w:rsidP="00496344">
            <w:pPr>
              <w:rPr>
                <w:b/>
                <w:sz w:val="28"/>
                <w:lang w:val="en-US"/>
              </w:rPr>
            </w:pPr>
            <w:r w:rsidRPr="003E1A35">
              <w:rPr>
                <w:b/>
                <w:sz w:val="28"/>
                <w:lang w:val="en-US"/>
              </w:rPr>
              <w:t>Adjourn</w:t>
            </w:r>
          </w:p>
        </w:tc>
      </w:tr>
      <w:tr w:rsidR="009A264E" w:rsidRPr="009A264E" w:rsidTr="00F9224E">
        <w:tc>
          <w:tcPr>
            <w:tcW w:w="1493" w:type="dxa"/>
            <w:shd w:val="clear" w:color="auto" w:fill="FFFFFF" w:themeFill="background1"/>
          </w:tcPr>
          <w:p w:rsidR="00574133" w:rsidRPr="003E1A35" w:rsidRDefault="00574133" w:rsidP="00AE0F82">
            <w:pPr>
              <w:rPr>
                <w:color w:val="000000" w:themeColor="text1"/>
                <w:lang w:val="en-US"/>
              </w:rPr>
            </w:pPr>
          </w:p>
        </w:tc>
        <w:tc>
          <w:tcPr>
            <w:tcW w:w="8146" w:type="dxa"/>
            <w:shd w:val="clear" w:color="auto" w:fill="FFFFFF" w:themeFill="background1"/>
          </w:tcPr>
          <w:p w:rsidR="00574133" w:rsidRPr="009A264E" w:rsidRDefault="00C27E67" w:rsidP="00C27E67">
            <w:pPr>
              <w:rPr>
                <w:b/>
                <w:color w:val="FF0000"/>
                <w:sz w:val="28"/>
                <w:lang w:val="en-US"/>
              </w:rPr>
            </w:pPr>
            <w:r w:rsidRPr="009A264E">
              <w:rPr>
                <w:b/>
                <w:color w:val="FF0000"/>
                <w:sz w:val="28"/>
                <w:lang w:val="en-US"/>
              </w:rPr>
              <w:t xml:space="preserve">The workshop will be followed on 8 April by a meeting of the </w:t>
            </w:r>
            <w:r w:rsidR="009A264E">
              <w:rPr>
                <w:b/>
                <w:color w:val="FF0000"/>
                <w:sz w:val="28"/>
                <w:lang w:val="en-US"/>
              </w:rPr>
              <w:t xml:space="preserve">TIP </w:t>
            </w:r>
            <w:r w:rsidRPr="009A264E">
              <w:rPr>
                <w:b/>
                <w:color w:val="FF0000"/>
                <w:sz w:val="28"/>
                <w:lang w:val="en-US"/>
              </w:rPr>
              <w:t xml:space="preserve">Steering Group on System Transformation from 9:00 until 13:00 pm. </w:t>
            </w:r>
          </w:p>
        </w:tc>
      </w:tr>
    </w:tbl>
    <w:p w:rsidR="00865DF2" w:rsidRDefault="00865DF2" w:rsidP="00767E4D">
      <w:pPr>
        <w:jc w:val="center"/>
      </w:pPr>
    </w:p>
    <w:sectPr w:rsidR="00865DF2" w:rsidSect="009A230B">
      <w:pgSz w:w="11906" w:h="16838"/>
      <w:pgMar w:top="1440"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53D"/>
    <w:multiLevelType w:val="hybridMultilevel"/>
    <w:tmpl w:val="DF5A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E610D"/>
    <w:multiLevelType w:val="hybridMultilevel"/>
    <w:tmpl w:val="0344C7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734FCD"/>
    <w:multiLevelType w:val="hybridMultilevel"/>
    <w:tmpl w:val="D2BA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F44FC"/>
    <w:multiLevelType w:val="hybridMultilevel"/>
    <w:tmpl w:val="EFE4B4E4"/>
    <w:lvl w:ilvl="0" w:tplc="177438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F1B2C"/>
    <w:multiLevelType w:val="hybridMultilevel"/>
    <w:tmpl w:val="4A46D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473AE"/>
    <w:multiLevelType w:val="hybridMultilevel"/>
    <w:tmpl w:val="5E52E9DC"/>
    <w:lvl w:ilvl="0" w:tplc="797C0E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46AF1"/>
    <w:multiLevelType w:val="hybridMultilevel"/>
    <w:tmpl w:val="E44E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E3793"/>
    <w:multiLevelType w:val="hybridMultilevel"/>
    <w:tmpl w:val="0344C7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02E2D65"/>
    <w:multiLevelType w:val="hybridMultilevel"/>
    <w:tmpl w:val="7600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365AA"/>
    <w:multiLevelType w:val="hybridMultilevel"/>
    <w:tmpl w:val="01B2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47A10"/>
    <w:multiLevelType w:val="hybridMultilevel"/>
    <w:tmpl w:val="2582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8344F"/>
    <w:multiLevelType w:val="hybridMultilevel"/>
    <w:tmpl w:val="F2FC48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B047E49"/>
    <w:multiLevelType w:val="hybridMultilevel"/>
    <w:tmpl w:val="0686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9186B"/>
    <w:multiLevelType w:val="hybridMultilevel"/>
    <w:tmpl w:val="FB2C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7B0BC1"/>
    <w:multiLevelType w:val="hybridMultilevel"/>
    <w:tmpl w:val="25AE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55416"/>
    <w:multiLevelType w:val="hybridMultilevel"/>
    <w:tmpl w:val="5F24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3088A"/>
    <w:multiLevelType w:val="hybridMultilevel"/>
    <w:tmpl w:val="9B56C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8D63004"/>
    <w:multiLevelType w:val="hybridMultilevel"/>
    <w:tmpl w:val="22323A24"/>
    <w:lvl w:ilvl="0" w:tplc="04090001">
      <w:start w:val="1"/>
      <w:numFmt w:val="bullet"/>
      <w:lvlText w:val=""/>
      <w:lvlJc w:val="left"/>
      <w:pPr>
        <w:ind w:left="1560" w:hanging="8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25A1B"/>
    <w:multiLevelType w:val="hybridMultilevel"/>
    <w:tmpl w:val="7468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6E5B58"/>
    <w:multiLevelType w:val="hybridMultilevel"/>
    <w:tmpl w:val="745A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703CEE"/>
    <w:multiLevelType w:val="hybridMultilevel"/>
    <w:tmpl w:val="724E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EC37B1"/>
    <w:multiLevelType w:val="hybridMultilevel"/>
    <w:tmpl w:val="94D2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DC12FD"/>
    <w:multiLevelType w:val="hybridMultilevel"/>
    <w:tmpl w:val="6050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985E88"/>
    <w:multiLevelType w:val="hybridMultilevel"/>
    <w:tmpl w:val="9CE8E1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C72521E"/>
    <w:multiLevelType w:val="hybridMultilevel"/>
    <w:tmpl w:val="0248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8B6504"/>
    <w:multiLevelType w:val="hybridMultilevel"/>
    <w:tmpl w:val="335257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599366B"/>
    <w:multiLevelType w:val="hybridMultilevel"/>
    <w:tmpl w:val="AABA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1C6C2B"/>
    <w:multiLevelType w:val="hybridMultilevel"/>
    <w:tmpl w:val="02DE662C"/>
    <w:lvl w:ilvl="0" w:tplc="1DEE976E">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0977E2"/>
    <w:multiLevelType w:val="hybridMultilevel"/>
    <w:tmpl w:val="EFB0F9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1"/>
  </w:num>
  <w:num w:numId="4">
    <w:abstractNumId w:val="28"/>
  </w:num>
  <w:num w:numId="5">
    <w:abstractNumId w:val="16"/>
  </w:num>
  <w:num w:numId="6">
    <w:abstractNumId w:val="23"/>
  </w:num>
  <w:num w:numId="7">
    <w:abstractNumId w:val="24"/>
  </w:num>
  <w:num w:numId="8">
    <w:abstractNumId w:val="6"/>
  </w:num>
  <w:num w:numId="9">
    <w:abstractNumId w:val="4"/>
  </w:num>
  <w:num w:numId="10">
    <w:abstractNumId w:val="12"/>
  </w:num>
  <w:num w:numId="11">
    <w:abstractNumId w:val="19"/>
  </w:num>
  <w:num w:numId="12">
    <w:abstractNumId w:val="20"/>
  </w:num>
  <w:num w:numId="13">
    <w:abstractNumId w:val="21"/>
  </w:num>
  <w:num w:numId="14">
    <w:abstractNumId w:val="18"/>
  </w:num>
  <w:num w:numId="15">
    <w:abstractNumId w:val="3"/>
  </w:num>
  <w:num w:numId="16">
    <w:abstractNumId w:val="9"/>
  </w:num>
  <w:num w:numId="17">
    <w:abstractNumId w:val="5"/>
  </w:num>
  <w:num w:numId="18">
    <w:abstractNumId w:val="8"/>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13"/>
  </w:num>
  <w:num w:numId="24">
    <w:abstractNumId w:val="25"/>
  </w:num>
  <w:num w:numId="25">
    <w:abstractNumId w:val="0"/>
  </w:num>
  <w:num w:numId="26">
    <w:abstractNumId w:val="26"/>
  </w:num>
  <w:num w:numId="27">
    <w:abstractNumId w:val="2"/>
  </w:num>
  <w:num w:numId="28">
    <w:abstractNumId w:val="22"/>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82"/>
    <w:rsid w:val="00001531"/>
    <w:rsid w:val="00005B1A"/>
    <w:rsid w:val="00041052"/>
    <w:rsid w:val="00052002"/>
    <w:rsid w:val="00052512"/>
    <w:rsid w:val="000838A2"/>
    <w:rsid w:val="00087F9B"/>
    <w:rsid w:val="000A59A8"/>
    <w:rsid w:val="000A6D69"/>
    <w:rsid w:val="000F44DB"/>
    <w:rsid w:val="00105550"/>
    <w:rsid w:val="00125784"/>
    <w:rsid w:val="00140661"/>
    <w:rsid w:val="00140739"/>
    <w:rsid w:val="00146C0E"/>
    <w:rsid w:val="00175C13"/>
    <w:rsid w:val="0019356C"/>
    <w:rsid w:val="001A776D"/>
    <w:rsid w:val="001B33F8"/>
    <w:rsid w:val="001C1779"/>
    <w:rsid w:val="001C4797"/>
    <w:rsid w:val="001E4CE7"/>
    <w:rsid w:val="001F2535"/>
    <w:rsid w:val="002048B4"/>
    <w:rsid w:val="002457DD"/>
    <w:rsid w:val="00266EE1"/>
    <w:rsid w:val="00294FF6"/>
    <w:rsid w:val="00295BFB"/>
    <w:rsid w:val="003016FB"/>
    <w:rsid w:val="0030215E"/>
    <w:rsid w:val="003160DC"/>
    <w:rsid w:val="00336A4C"/>
    <w:rsid w:val="0033707A"/>
    <w:rsid w:val="00342BAF"/>
    <w:rsid w:val="00393201"/>
    <w:rsid w:val="003B1D8A"/>
    <w:rsid w:val="003B29B6"/>
    <w:rsid w:val="003B4C4A"/>
    <w:rsid w:val="003C7184"/>
    <w:rsid w:val="003D72C2"/>
    <w:rsid w:val="003E15EF"/>
    <w:rsid w:val="003E1A35"/>
    <w:rsid w:val="003F3DBF"/>
    <w:rsid w:val="00416EE2"/>
    <w:rsid w:val="00445238"/>
    <w:rsid w:val="004962C8"/>
    <w:rsid w:val="00496344"/>
    <w:rsid w:val="00497EDC"/>
    <w:rsid w:val="004A4567"/>
    <w:rsid w:val="00505F0B"/>
    <w:rsid w:val="00506224"/>
    <w:rsid w:val="00532B7E"/>
    <w:rsid w:val="00542B43"/>
    <w:rsid w:val="00574133"/>
    <w:rsid w:val="00590C6D"/>
    <w:rsid w:val="005C3F1C"/>
    <w:rsid w:val="005E54EE"/>
    <w:rsid w:val="005F44F6"/>
    <w:rsid w:val="005F79C2"/>
    <w:rsid w:val="006050E4"/>
    <w:rsid w:val="00643518"/>
    <w:rsid w:val="0065077A"/>
    <w:rsid w:val="006526E4"/>
    <w:rsid w:val="00676F93"/>
    <w:rsid w:val="006869CD"/>
    <w:rsid w:val="006918EC"/>
    <w:rsid w:val="006A7964"/>
    <w:rsid w:val="006B0A7A"/>
    <w:rsid w:val="006B57C9"/>
    <w:rsid w:val="006B67D7"/>
    <w:rsid w:val="006D051B"/>
    <w:rsid w:val="006D33D4"/>
    <w:rsid w:val="006E0AD9"/>
    <w:rsid w:val="00720632"/>
    <w:rsid w:val="007311EC"/>
    <w:rsid w:val="0073133F"/>
    <w:rsid w:val="00733551"/>
    <w:rsid w:val="0073496E"/>
    <w:rsid w:val="00742FAB"/>
    <w:rsid w:val="00766C80"/>
    <w:rsid w:val="00767667"/>
    <w:rsid w:val="00767E4D"/>
    <w:rsid w:val="00772FC2"/>
    <w:rsid w:val="00777DD8"/>
    <w:rsid w:val="00784619"/>
    <w:rsid w:val="007848C6"/>
    <w:rsid w:val="007B5436"/>
    <w:rsid w:val="007E7485"/>
    <w:rsid w:val="008029FE"/>
    <w:rsid w:val="00833D3F"/>
    <w:rsid w:val="00837DF6"/>
    <w:rsid w:val="00865DF2"/>
    <w:rsid w:val="00866CB9"/>
    <w:rsid w:val="00867208"/>
    <w:rsid w:val="00867D6F"/>
    <w:rsid w:val="00874F61"/>
    <w:rsid w:val="00880132"/>
    <w:rsid w:val="008932C5"/>
    <w:rsid w:val="008939AF"/>
    <w:rsid w:val="00896850"/>
    <w:rsid w:val="008D0F49"/>
    <w:rsid w:val="008E4B2D"/>
    <w:rsid w:val="008E552E"/>
    <w:rsid w:val="008F0F83"/>
    <w:rsid w:val="008F2779"/>
    <w:rsid w:val="00902CA7"/>
    <w:rsid w:val="00926F78"/>
    <w:rsid w:val="00930B69"/>
    <w:rsid w:val="00934316"/>
    <w:rsid w:val="00950544"/>
    <w:rsid w:val="00953114"/>
    <w:rsid w:val="009532B2"/>
    <w:rsid w:val="0098231B"/>
    <w:rsid w:val="0098499B"/>
    <w:rsid w:val="009910CB"/>
    <w:rsid w:val="009A180B"/>
    <w:rsid w:val="009A230B"/>
    <w:rsid w:val="009A264E"/>
    <w:rsid w:val="009B30E3"/>
    <w:rsid w:val="009C2D3E"/>
    <w:rsid w:val="009C6A0B"/>
    <w:rsid w:val="009E4D3C"/>
    <w:rsid w:val="009E65BD"/>
    <w:rsid w:val="00A01C0B"/>
    <w:rsid w:val="00A03201"/>
    <w:rsid w:val="00A348C4"/>
    <w:rsid w:val="00A4188D"/>
    <w:rsid w:val="00A41BFF"/>
    <w:rsid w:val="00A46A93"/>
    <w:rsid w:val="00A50F31"/>
    <w:rsid w:val="00A63C82"/>
    <w:rsid w:val="00AA293C"/>
    <w:rsid w:val="00AB29EC"/>
    <w:rsid w:val="00AD10E1"/>
    <w:rsid w:val="00AD348A"/>
    <w:rsid w:val="00AD7FEE"/>
    <w:rsid w:val="00AE0F82"/>
    <w:rsid w:val="00AF7E3F"/>
    <w:rsid w:val="00B02920"/>
    <w:rsid w:val="00B1019A"/>
    <w:rsid w:val="00B15C77"/>
    <w:rsid w:val="00B17391"/>
    <w:rsid w:val="00B25019"/>
    <w:rsid w:val="00B61632"/>
    <w:rsid w:val="00B767F8"/>
    <w:rsid w:val="00BE7922"/>
    <w:rsid w:val="00BF6576"/>
    <w:rsid w:val="00C27B0E"/>
    <w:rsid w:val="00C27E67"/>
    <w:rsid w:val="00C61095"/>
    <w:rsid w:val="00C813EC"/>
    <w:rsid w:val="00C84BCD"/>
    <w:rsid w:val="00CC1953"/>
    <w:rsid w:val="00CF1429"/>
    <w:rsid w:val="00CF5CD1"/>
    <w:rsid w:val="00D26962"/>
    <w:rsid w:val="00D30C65"/>
    <w:rsid w:val="00D44A4C"/>
    <w:rsid w:val="00D5515F"/>
    <w:rsid w:val="00D56B9A"/>
    <w:rsid w:val="00D66BF5"/>
    <w:rsid w:val="00D67CCF"/>
    <w:rsid w:val="00D767BC"/>
    <w:rsid w:val="00D87D50"/>
    <w:rsid w:val="00D900CC"/>
    <w:rsid w:val="00D96B86"/>
    <w:rsid w:val="00D97CF8"/>
    <w:rsid w:val="00DA0662"/>
    <w:rsid w:val="00DA27A3"/>
    <w:rsid w:val="00DB3267"/>
    <w:rsid w:val="00DB5ED5"/>
    <w:rsid w:val="00DB7ED5"/>
    <w:rsid w:val="00DD1DFF"/>
    <w:rsid w:val="00DE6B2A"/>
    <w:rsid w:val="00DF5640"/>
    <w:rsid w:val="00E10866"/>
    <w:rsid w:val="00E2773E"/>
    <w:rsid w:val="00E327E8"/>
    <w:rsid w:val="00E32AD0"/>
    <w:rsid w:val="00E3783B"/>
    <w:rsid w:val="00E76698"/>
    <w:rsid w:val="00E77948"/>
    <w:rsid w:val="00EA6829"/>
    <w:rsid w:val="00EB72C5"/>
    <w:rsid w:val="00EC73A2"/>
    <w:rsid w:val="00ED3DF2"/>
    <w:rsid w:val="00EE09D9"/>
    <w:rsid w:val="00EF4FE2"/>
    <w:rsid w:val="00F00FAE"/>
    <w:rsid w:val="00F3149E"/>
    <w:rsid w:val="00F5541B"/>
    <w:rsid w:val="00F87F46"/>
    <w:rsid w:val="00F9224E"/>
    <w:rsid w:val="00F97161"/>
    <w:rsid w:val="00FB187E"/>
    <w:rsid w:val="00FD410A"/>
    <w:rsid w:val="00FE5BA1"/>
    <w:rsid w:val="00FF11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C82"/>
    <w:rPr>
      <w:rFonts w:ascii="Tahoma" w:hAnsi="Tahoma" w:cs="Tahoma"/>
      <w:sz w:val="16"/>
      <w:szCs w:val="16"/>
    </w:rPr>
  </w:style>
  <w:style w:type="paragraph" w:customStyle="1" w:styleId="Default">
    <w:name w:val="Default"/>
    <w:rsid w:val="00833D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833D3F"/>
    <w:pPr>
      <w:spacing w:after="0" w:line="240" w:lineRule="auto"/>
      <w:ind w:left="720"/>
    </w:pPr>
    <w:rPr>
      <w:rFonts w:ascii="Times New Roman" w:hAnsi="Times New Roman" w:cs="Times New Roman"/>
      <w:sz w:val="24"/>
      <w:szCs w:val="24"/>
      <w:lang w:val="en-US"/>
    </w:rPr>
  </w:style>
  <w:style w:type="character" w:styleId="Hyperlink">
    <w:name w:val="Hyperlink"/>
    <w:basedOn w:val="DefaultParagraphFont"/>
    <w:uiPriority w:val="99"/>
    <w:unhideWhenUsed/>
    <w:rsid w:val="001C4797"/>
    <w:rPr>
      <w:color w:val="0000FF" w:themeColor="hyperlink"/>
      <w:u w:val="single"/>
    </w:rPr>
  </w:style>
  <w:style w:type="character" w:styleId="CommentReference">
    <w:name w:val="annotation reference"/>
    <w:basedOn w:val="DefaultParagraphFont"/>
    <w:uiPriority w:val="99"/>
    <w:semiHidden/>
    <w:unhideWhenUsed/>
    <w:rsid w:val="00A01C0B"/>
    <w:rPr>
      <w:sz w:val="16"/>
      <w:szCs w:val="16"/>
    </w:rPr>
  </w:style>
  <w:style w:type="paragraph" w:styleId="CommentText">
    <w:name w:val="annotation text"/>
    <w:basedOn w:val="Normal"/>
    <w:link w:val="CommentTextChar"/>
    <w:uiPriority w:val="99"/>
    <w:semiHidden/>
    <w:unhideWhenUsed/>
    <w:rsid w:val="00A01C0B"/>
    <w:pPr>
      <w:spacing w:line="240" w:lineRule="auto"/>
    </w:pPr>
    <w:rPr>
      <w:sz w:val="20"/>
      <w:szCs w:val="20"/>
    </w:rPr>
  </w:style>
  <w:style w:type="character" w:customStyle="1" w:styleId="CommentTextChar">
    <w:name w:val="Comment Text Char"/>
    <w:basedOn w:val="DefaultParagraphFont"/>
    <w:link w:val="CommentText"/>
    <w:uiPriority w:val="99"/>
    <w:semiHidden/>
    <w:rsid w:val="00A01C0B"/>
    <w:rPr>
      <w:sz w:val="20"/>
      <w:szCs w:val="20"/>
    </w:rPr>
  </w:style>
  <w:style w:type="paragraph" w:styleId="CommentSubject">
    <w:name w:val="annotation subject"/>
    <w:basedOn w:val="CommentText"/>
    <w:next w:val="CommentText"/>
    <w:link w:val="CommentSubjectChar"/>
    <w:uiPriority w:val="99"/>
    <w:semiHidden/>
    <w:unhideWhenUsed/>
    <w:rsid w:val="00A01C0B"/>
    <w:rPr>
      <w:b/>
      <w:bCs/>
    </w:rPr>
  </w:style>
  <w:style w:type="character" w:customStyle="1" w:styleId="CommentSubjectChar">
    <w:name w:val="Comment Subject Char"/>
    <w:basedOn w:val="CommentTextChar"/>
    <w:link w:val="CommentSubject"/>
    <w:uiPriority w:val="99"/>
    <w:semiHidden/>
    <w:rsid w:val="00A01C0B"/>
    <w:rPr>
      <w:b/>
      <w:bCs/>
      <w:sz w:val="20"/>
      <w:szCs w:val="20"/>
    </w:rPr>
  </w:style>
  <w:style w:type="character" w:customStyle="1" w:styleId="st1">
    <w:name w:val="st1"/>
    <w:basedOn w:val="DefaultParagraphFont"/>
    <w:rsid w:val="003C7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C82"/>
    <w:rPr>
      <w:rFonts w:ascii="Tahoma" w:hAnsi="Tahoma" w:cs="Tahoma"/>
      <w:sz w:val="16"/>
      <w:szCs w:val="16"/>
    </w:rPr>
  </w:style>
  <w:style w:type="paragraph" w:customStyle="1" w:styleId="Default">
    <w:name w:val="Default"/>
    <w:rsid w:val="00833D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833D3F"/>
    <w:pPr>
      <w:spacing w:after="0" w:line="240" w:lineRule="auto"/>
      <w:ind w:left="720"/>
    </w:pPr>
    <w:rPr>
      <w:rFonts w:ascii="Times New Roman" w:hAnsi="Times New Roman" w:cs="Times New Roman"/>
      <w:sz w:val="24"/>
      <w:szCs w:val="24"/>
      <w:lang w:val="en-US"/>
    </w:rPr>
  </w:style>
  <w:style w:type="character" w:styleId="Hyperlink">
    <w:name w:val="Hyperlink"/>
    <w:basedOn w:val="DefaultParagraphFont"/>
    <w:uiPriority w:val="99"/>
    <w:unhideWhenUsed/>
    <w:rsid w:val="001C4797"/>
    <w:rPr>
      <w:color w:val="0000FF" w:themeColor="hyperlink"/>
      <w:u w:val="single"/>
    </w:rPr>
  </w:style>
  <w:style w:type="character" w:styleId="CommentReference">
    <w:name w:val="annotation reference"/>
    <w:basedOn w:val="DefaultParagraphFont"/>
    <w:uiPriority w:val="99"/>
    <w:semiHidden/>
    <w:unhideWhenUsed/>
    <w:rsid w:val="00A01C0B"/>
    <w:rPr>
      <w:sz w:val="16"/>
      <w:szCs w:val="16"/>
    </w:rPr>
  </w:style>
  <w:style w:type="paragraph" w:styleId="CommentText">
    <w:name w:val="annotation text"/>
    <w:basedOn w:val="Normal"/>
    <w:link w:val="CommentTextChar"/>
    <w:uiPriority w:val="99"/>
    <w:semiHidden/>
    <w:unhideWhenUsed/>
    <w:rsid w:val="00A01C0B"/>
    <w:pPr>
      <w:spacing w:line="240" w:lineRule="auto"/>
    </w:pPr>
    <w:rPr>
      <w:sz w:val="20"/>
      <w:szCs w:val="20"/>
    </w:rPr>
  </w:style>
  <w:style w:type="character" w:customStyle="1" w:styleId="CommentTextChar">
    <w:name w:val="Comment Text Char"/>
    <w:basedOn w:val="DefaultParagraphFont"/>
    <w:link w:val="CommentText"/>
    <w:uiPriority w:val="99"/>
    <w:semiHidden/>
    <w:rsid w:val="00A01C0B"/>
    <w:rPr>
      <w:sz w:val="20"/>
      <w:szCs w:val="20"/>
    </w:rPr>
  </w:style>
  <w:style w:type="paragraph" w:styleId="CommentSubject">
    <w:name w:val="annotation subject"/>
    <w:basedOn w:val="CommentText"/>
    <w:next w:val="CommentText"/>
    <w:link w:val="CommentSubjectChar"/>
    <w:uiPriority w:val="99"/>
    <w:semiHidden/>
    <w:unhideWhenUsed/>
    <w:rsid w:val="00A01C0B"/>
    <w:rPr>
      <w:b/>
      <w:bCs/>
    </w:rPr>
  </w:style>
  <w:style w:type="character" w:customStyle="1" w:styleId="CommentSubjectChar">
    <w:name w:val="Comment Subject Char"/>
    <w:basedOn w:val="CommentTextChar"/>
    <w:link w:val="CommentSubject"/>
    <w:uiPriority w:val="99"/>
    <w:semiHidden/>
    <w:rsid w:val="00A01C0B"/>
    <w:rPr>
      <w:b/>
      <w:bCs/>
      <w:sz w:val="20"/>
      <w:szCs w:val="20"/>
    </w:rPr>
  </w:style>
  <w:style w:type="character" w:customStyle="1" w:styleId="st1">
    <w:name w:val="st1"/>
    <w:basedOn w:val="DefaultParagraphFont"/>
    <w:rsid w:val="003C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586">
      <w:bodyDiv w:val="1"/>
      <w:marLeft w:val="0"/>
      <w:marRight w:val="0"/>
      <w:marTop w:val="0"/>
      <w:marBottom w:val="0"/>
      <w:divBdr>
        <w:top w:val="none" w:sz="0" w:space="0" w:color="auto"/>
        <w:left w:val="none" w:sz="0" w:space="0" w:color="auto"/>
        <w:bottom w:val="none" w:sz="0" w:space="0" w:color="auto"/>
        <w:right w:val="none" w:sz="0" w:space="0" w:color="auto"/>
      </w:divBdr>
    </w:div>
    <w:div w:id="39671032">
      <w:bodyDiv w:val="1"/>
      <w:marLeft w:val="0"/>
      <w:marRight w:val="0"/>
      <w:marTop w:val="0"/>
      <w:marBottom w:val="0"/>
      <w:divBdr>
        <w:top w:val="none" w:sz="0" w:space="0" w:color="auto"/>
        <w:left w:val="none" w:sz="0" w:space="0" w:color="auto"/>
        <w:bottom w:val="none" w:sz="0" w:space="0" w:color="auto"/>
        <w:right w:val="none" w:sz="0" w:space="0" w:color="auto"/>
      </w:divBdr>
    </w:div>
    <w:div w:id="102968997">
      <w:bodyDiv w:val="1"/>
      <w:marLeft w:val="0"/>
      <w:marRight w:val="0"/>
      <w:marTop w:val="0"/>
      <w:marBottom w:val="0"/>
      <w:divBdr>
        <w:top w:val="none" w:sz="0" w:space="0" w:color="auto"/>
        <w:left w:val="none" w:sz="0" w:space="0" w:color="auto"/>
        <w:bottom w:val="none" w:sz="0" w:space="0" w:color="auto"/>
        <w:right w:val="none" w:sz="0" w:space="0" w:color="auto"/>
      </w:divBdr>
    </w:div>
    <w:div w:id="109202469">
      <w:bodyDiv w:val="1"/>
      <w:marLeft w:val="0"/>
      <w:marRight w:val="0"/>
      <w:marTop w:val="0"/>
      <w:marBottom w:val="0"/>
      <w:divBdr>
        <w:top w:val="none" w:sz="0" w:space="0" w:color="auto"/>
        <w:left w:val="none" w:sz="0" w:space="0" w:color="auto"/>
        <w:bottom w:val="none" w:sz="0" w:space="0" w:color="auto"/>
        <w:right w:val="none" w:sz="0" w:space="0" w:color="auto"/>
      </w:divBdr>
    </w:div>
    <w:div w:id="250546167">
      <w:bodyDiv w:val="1"/>
      <w:marLeft w:val="0"/>
      <w:marRight w:val="0"/>
      <w:marTop w:val="0"/>
      <w:marBottom w:val="0"/>
      <w:divBdr>
        <w:top w:val="none" w:sz="0" w:space="0" w:color="auto"/>
        <w:left w:val="none" w:sz="0" w:space="0" w:color="auto"/>
        <w:bottom w:val="none" w:sz="0" w:space="0" w:color="auto"/>
        <w:right w:val="none" w:sz="0" w:space="0" w:color="auto"/>
      </w:divBdr>
    </w:div>
    <w:div w:id="318852720">
      <w:bodyDiv w:val="1"/>
      <w:marLeft w:val="0"/>
      <w:marRight w:val="0"/>
      <w:marTop w:val="0"/>
      <w:marBottom w:val="0"/>
      <w:divBdr>
        <w:top w:val="none" w:sz="0" w:space="0" w:color="auto"/>
        <w:left w:val="none" w:sz="0" w:space="0" w:color="auto"/>
        <w:bottom w:val="none" w:sz="0" w:space="0" w:color="auto"/>
        <w:right w:val="none" w:sz="0" w:space="0" w:color="auto"/>
      </w:divBdr>
    </w:div>
    <w:div w:id="464466618">
      <w:bodyDiv w:val="1"/>
      <w:marLeft w:val="0"/>
      <w:marRight w:val="0"/>
      <w:marTop w:val="0"/>
      <w:marBottom w:val="0"/>
      <w:divBdr>
        <w:top w:val="none" w:sz="0" w:space="0" w:color="auto"/>
        <w:left w:val="none" w:sz="0" w:space="0" w:color="auto"/>
        <w:bottom w:val="none" w:sz="0" w:space="0" w:color="auto"/>
        <w:right w:val="none" w:sz="0" w:space="0" w:color="auto"/>
      </w:divBdr>
    </w:div>
    <w:div w:id="1102145983">
      <w:bodyDiv w:val="1"/>
      <w:marLeft w:val="0"/>
      <w:marRight w:val="0"/>
      <w:marTop w:val="0"/>
      <w:marBottom w:val="0"/>
      <w:divBdr>
        <w:top w:val="none" w:sz="0" w:space="0" w:color="auto"/>
        <w:left w:val="none" w:sz="0" w:space="0" w:color="auto"/>
        <w:bottom w:val="none" w:sz="0" w:space="0" w:color="auto"/>
        <w:right w:val="none" w:sz="0" w:space="0" w:color="auto"/>
      </w:divBdr>
    </w:div>
    <w:div w:id="1246265127">
      <w:bodyDiv w:val="1"/>
      <w:marLeft w:val="0"/>
      <w:marRight w:val="0"/>
      <w:marTop w:val="0"/>
      <w:marBottom w:val="0"/>
      <w:divBdr>
        <w:top w:val="none" w:sz="0" w:space="0" w:color="auto"/>
        <w:left w:val="none" w:sz="0" w:space="0" w:color="auto"/>
        <w:bottom w:val="none" w:sz="0" w:space="0" w:color="auto"/>
        <w:right w:val="none" w:sz="0" w:space="0" w:color="auto"/>
      </w:divBdr>
    </w:div>
    <w:div w:id="1684479281">
      <w:bodyDiv w:val="1"/>
      <w:marLeft w:val="0"/>
      <w:marRight w:val="0"/>
      <w:marTop w:val="0"/>
      <w:marBottom w:val="0"/>
      <w:divBdr>
        <w:top w:val="none" w:sz="0" w:space="0" w:color="auto"/>
        <w:left w:val="none" w:sz="0" w:space="0" w:color="auto"/>
        <w:bottom w:val="none" w:sz="0" w:space="0" w:color="auto"/>
        <w:right w:val="none" w:sz="0" w:space="0" w:color="auto"/>
      </w:divBdr>
    </w:div>
    <w:div w:id="1698500861">
      <w:bodyDiv w:val="1"/>
      <w:marLeft w:val="0"/>
      <w:marRight w:val="0"/>
      <w:marTop w:val="0"/>
      <w:marBottom w:val="0"/>
      <w:divBdr>
        <w:top w:val="none" w:sz="0" w:space="0" w:color="auto"/>
        <w:left w:val="none" w:sz="0" w:space="0" w:color="auto"/>
        <w:bottom w:val="none" w:sz="0" w:space="0" w:color="auto"/>
        <w:right w:val="none" w:sz="0" w:space="0" w:color="auto"/>
      </w:divBdr>
    </w:div>
    <w:div w:id="1705598839">
      <w:bodyDiv w:val="1"/>
      <w:marLeft w:val="0"/>
      <w:marRight w:val="0"/>
      <w:marTop w:val="0"/>
      <w:marBottom w:val="0"/>
      <w:divBdr>
        <w:top w:val="none" w:sz="0" w:space="0" w:color="auto"/>
        <w:left w:val="none" w:sz="0" w:space="0" w:color="auto"/>
        <w:bottom w:val="none" w:sz="0" w:space="0" w:color="auto"/>
        <w:right w:val="none" w:sz="0" w:space="0" w:color="auto"/>
      </w:divBdr>
    </w:div>
    <w:div w:id="1727679436">
      <w:bodyDiv w:val="1"/>
      <w:marLeft w:val="0"/>
      <w:marRight w:val="0"/>
      <w:marTop w:val="0"/>
      <w:marBottom w:val="0"/>
      <w:divBdr>
        <w:top w:val="none" w:sz="0" w:space="0" w:color="auto"/>
        <w:left w:val="none" w:sz="0" w:space="0" w:color="auto"/>
        <w:bottom w:val="none" w:sz="0" w:space="0" w:color="auto"/>
        <w:right w:val="none" w:sz="0" w:space="0" w:color="auto"/>
      </w:divBdr>
    </w:div>
    <w:div w:id="19374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FBD7-DBB6-452B-92F4-E74F664C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A215CEEF.dotm</Template>
  <TotalTime>16</TotalTime>
  <Pages>3</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OECD</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CERVANTES Mario</dc:creator>
  <cp:lastModifiedBy>CERVANTES Mario</cp:lastModifiedBy>
  <cp:revision>7</cp:revision>
  <cp:lastPrinted>2016-02-24T08:29:00Z</cp:lastPrinted>
  <dcterms:created xsi:type="dcterms:W3CDTF">2016-03-17T15:06:00Z</dcterms:created>
  <dcterms:modified xsi:type="dcterms:W3CDTF">2016-03-31T15:29:00Z</dcterms:modified>
</cp:coreProperties>
</file>